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bookmarkStart w:id="0" w:name="_GoBack"/>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铜川市民政局20</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t>20</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工作年度报告</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2020年，铜川市民政局政府信息公开工作严格按照新修订的《中华人民共和国政府信息公开条例》，认真落实各项工作要求，全面落实政府信息公开工作，现将我局2020年度政府信息公开工作报告如下。</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600" w:lineRule="exact"/>
        <w:ind w:left="0" w:leftChars="0" w:right="0" w:rightChars="0" w:firstLine="620" w:firstLineChars="200"/>
        <w:jc w:val="both"/>
        <w:textAlignment w:val="auto"/>
        <w:rPr>
          <w:rFonts w:hint="default"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一、总体情况</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firstLine="620" w:firstLineChars="200"/>
        <w:jc w:val="both"/>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（一）主动公开信息情况</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2020年，我局主动公开政府信息246条。公开范围涉及部门文件、规划计划、政策法规等15个方面。除通过网站、微信公众号传统媒体主动对外进行信息公开和宣传外，我们还通过铜川市12345网上群众工作部、市长信箱、网站局长信箱等渠道受理答复各种诉求，全年未发生重大舆情。</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firstLine="620" w:firstLineChars="200"/>
        <w:jc w:val="both"/>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（二）依申请公开工作情况</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2020年全年，我局未收到信息公开申请。</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（三）政府信息公开管理情况</w:t>
      </w:r>
    </w:p>
    <w:p>
      <w:pPr>
        <w:keepNext w:val="0"/>
        <w:keepLines w:val="0"/>
        <w:pageBreakBefore w:val="0"/>
        <w:widowControl/>
        <w:suppressLineNumbers w:val="0"/>
        <w:kinsoku/>
        <w:overflowPunct/>
        <w:topLinePunct w:val="0"/>
        <w:autoSpaceDE/>
        <w:autoSpaceDN/>
        <w:bidi w:val="0"/>
        <w:adjustRightInd/>
        <w:snapToGrid/>
        <w:spacing w:afterAutospacing="0" w:line="580" w:lineRule="exact"/>
        <w:ind w:left="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一是加强组织领导。我局把信息公开工作摆上重要议事日程，成立了信息公开工作领导小组，由局长任组长，分管副局长任副组长，领导小组下设办公室，设立专人负责信息公开工作。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80" w:lineRule="exact"/>
        <w:ind w:left="0" w:right="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是强化制度建设。我局制定了《铜川市民政局信息公开工作考核暂行办法》《铜川市民政局信息公开工作社会评议暂行办法》《铜川市民政局政府信息公开保密审查制度》等,调整优化政府信息公开指南、信息公开制度、信息公开目录、主动公开内容、信息公开年报等内容，规范发布流程，缩短信息从形成到公开的时间，确保政府信息公开工作依法、有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是推进社会救助信息公开。严格执行低保对象长期末端公示制度。在城市社区利用“社会救助公示栏”，在农村利用村务公开栏及墙体板报，对享受最低生活保障的对象进行长期末端公示，并公布市、区县、乡镇（街办）三级低保监督举报咨询电话，同时，要求各区县民政局、新区社会事业局在同级政府网站公布农村低保专项治理监督举报电话、网址等内容，接受群众和社会监督。</w:t>
      </w:r>
    </w:p>
    <w:p>
      <w:pPr>
        <w:pStyle w:val="5"/>
        <w:keepNext w:val="0"/>
        <w:keepLines w:val="0"/>
        <w:pageBreakBefore w:val="0"/>
        <w:widowControl/>
        <w:numPr>
          <w:ilvl w:val="0"/>
          <w:numId w:val="1"/>
        </w:numPr>
        <w:suppressLineNumbers w:val="0"/>
        <w:kinsoku/>
        <w:wordWrap w:val="0"/>
        <w:overflowPunct/>
        <w:topLinePunct w:val="0"/>
        <w:autoSpaceDE/>
        <w:autoSpaceDN/>
        <w:bidi w:val="0"/>
        <w:adjustRightInd w:val="0"/>
        <w:snapToGrid w:val="0"/>
        <w:spacing w:before="0" w:beforeAutospacing="0" w:afterAutospacing="0" w:line="580" w:lineRule="exact"/>
        <w:ind w:left="0" w:firstLine="620" w:firstLineChars="200"/>
        <w:jc w:val="both"/>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平台建设</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按照市政府《铜川市政府网站集约化平台建设方案》要求，我局积极配合市政务服务信息化中心，完成网站集约化工作。</w:t>
      </w:r>
    </w:p>
    <w:p>
      <w:pPr>
        <w:pStyle w:val="5"/>
        <w:keepNext w:val="0"/>
        <w:keepLines w:val="0"/>
        <w:pageBreakBefore w:val="0"/>
        <w:widowControl/>
        <w:numPr>
          <w:ilvl w:val="0"/>
          <w:numId w:val="1"/>
        </w:numPr>
        <w:suppressLineNumbers w:val="0"/>
        <w:kinsoku/>
        <w:wordWrap w:val="0"/>
        <w:overflowPunct/>
        <w:topLinePunct w:val="0"/>
        <w:autoSpaceDE/>
        <w:autoSpaceDN/>
        <w:bidi w:val="0"/>
        <w:adjustRightInd w:val="0"/>
        <w:snapToGrid w:val="0"/>
        <w:spacing w:before="0" w:beforeAutospacing="0" w:afterAutospacing="0" w:line="560" w:lineRule="exact"/>
        <w:ind w:left="0" w:leftChars="0" w:firstLine="620" w:firstLineChars="200"/>
        <w:jc w:val="both"/>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人大代表建议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2020年，办理人大代表建议2件，政协提案6件，内容涉及养老、社区建设、社区专职等方面，均全部按期办结。按规定，在市政府网站、市民政局网站主动公开人大代表建议2件，政协提案6件。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二、主动公开政府信息情况</w:t>
      </w:r>
    </w:p>
    <w:tbl>
      <w:tblPr>
        <w:tblStyle w:val="6"/>
        <w:tblW w:w="8580" w:type="dxa"/>
        <w:jc w:val="center"/>
        <w:shd w:val="clear" w:color="auto" w:fill="auto"/>
        <w:tblLayout w:type="autofit"/>
        <w:tblCellMar>
          <w:top w:w="0" w:type="dxa"/>
          <w:left w:w="0" w:type="dxa"/>
          <w:bottom w:w="0" w:type="dxa"/>
          <w:right w:w="0" w:type="dxa"/>
        </w:tblCellMar>
      </w:tblPr>
      <w:tblGrid>
        <w:gridCol w:w="2985"/>
        <w:gridCol w:w="1980"/>
        <w:gridCol w:w="1755"/>
        <w:gridCol w:w="1860"/>
      </w:tblGrid>
      <w:tr>
        <w:tblPrEx>
          <w:shd w:val="clear" w:color="auto" w:fill="auto"/>
          <w:tblCellMar>
            <w:top w:w="0" w:type="dxa"/>
            <w:left w:w="0" w:type="dxa"/>
            <w:bottom w:w="0" w:type="dxa"/>
            <w:right w:w="0" w:type="dxa"/>
          </w:tblCellMar>
        </w:tblPrEx>
        <w:trPr>
          <w:trHeight w:val="495" w:hRule="atLeast"/>
          <w:jc w:val="center"/>
        </w:trPr>
        <w:tc>
          <w:tcPr>
            <w:tcW w:w="8580" w:type="dxa"/>
            <w:gridSpan w:val="4"/>
            <w:tcBorders>
              <w:top w:val="single" w:color="auto" w:sz="6" w:space="0"/>
              <w:left w:val="single" w:color="auto" w:sz="6" w:space="0"/>
              <w:bottom w:val="single" w:color="auto" w:sz="6" w:space="0"/>
              <w:right w:val="single" w:color="auto" w:sz="6" w:space="0"/>
            </w:tcBorders>
            <w:shd w:val="clear" w:color="auto" w:fill="FFFFFF"/>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4"/>
                <w:szCs w:val="24"/>
              </w:rPr>
              <w:t>第二十条第（一）项</w:t>
            </w:r>
          </w:p>
        </w:tc>
      </w:tr>
      <w:tr>
        <w:tblPrEx>
          <w:tblCellMar>
            <w:top w:w="0" w:type="dxa"/>
            <w:left w:w="0" w:type="dxa"/>
            <w:bottom w:w="0" w:type="dxa"/>
            <w:right w:w="0" w:type="dxa"/>
          </w:tblCellMar>
        </w:tblPrEx>
        <w:trPr>
          <w:trHeight w:val="645"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信息内容</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本年新</w:t>
            </w:r>
            <w:r>
              <w:rPr>
                <w:rFonts w:hint="eastAsia" w:ascii="宋体" w:hAnsi="宋体" w:eastAsia="宋体" w:cs="宋体"/>
                <w:color w:val="333333"/>
                <w:sz w:val="21"/>
                <w:szCs w:val="21"/>
              </w:rPr>
              <w:t>制作数量</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本年新</w:t>
            </w:r>
            <w:r>
              <w:rPr>
                <w:rFonts w:hint="eastAsia" w:ascii="宋体" w:hAnsi="宋体" w:eastAsia="宋体" w:cs="宋体"/>
                <w:color w:val="333333"/>
                <w:sz w:val="21"/>
                <w:szCs w:val="21"/>
              </w:rPr>
              <w:t>公开数量</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对外公开总数量</w:t>
            </w:r>
          </w:p>
        </w:tc>
      </w:tr>
      <w:tr>
        <w:tblPrEx>
          <w:tblCellMar>
            <w:top w:w="0" w:type="dxa"/>
            <w:left w:w="0" w:type="dxa"/>
            <w:bottom w:w="0" w:type="dxa"/>
            <w:right w:w="0" w:type="dxa"/>
          </w:tblCellMar>
        </w:tblPrEx>
        <w:trPr>
          <w:trHeight w:val="420"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规章</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333333"/>
                <w:sz w:val="21"/>
                <w:szCs w:val="21"/>
              </w:rPr>
              <w:t>0</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333333"/>
                <w:sz w:val="21"/>
                <w:szCs w:val="21"/>
              </w:rPr>
              <w:t>0</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333333"/>
                <w:sz w:val="21"/>
                <w:szCs w:val="21"/>
              </w:rPr>
              <w:t>0</w:t>
            </w:r>
          </w:p>
        </w:tc>
      </w:tr>
      <w:tr>
        <w:tblPrEx>
          <w:tblCellMar>
            <w:top w:w="0" w:type="dxa"/>
            <w:left w:w="0" w:type="dxa"/>
            <w:bottom w:w="0" w:type="dxa"/>
            <w:right w:w="0" w:type="dxa"/>
          </w:tblCellMar>
        </w:tblPrEx>
        <w:trPr>
          <w:trHeight w:val="465"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规范性文件</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r>
      <w:tr>
        <w:tblPrEx>
          <w:tblCellMar>
            <w:top w:w="0" w:type="dxa"/>
            <w:left w:w="0" w:type="dxa"/>
            <w:bottom w:w="0" w:type="dxa"/>
            <w:right w:w="0" w:type="dxa"/>
          </w:tblCellMar>
        </w:tblPrEx>
        <w:trPr>
          <w:trHeight w:val="480" w:hRule="atLeast"/>
          <w:jc w:val="center"/>
        </w:trPr>
        <w:tc>
          <w:tcPr>
            <w:tcW w:w="8580" w:type="dxa"/>
            <w:gridSpan w:val="4"/>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第二十条第（五）项</w:t>
            </w:r>
          </w:p>
        </w:tc>
      </w:tr>
      <w:tr>
        <w:tblPrEx>
          <w:tblCellMar>
            <w:top w:w="0" w:type="dxa"/>
            <w:left w:w="0" w:type="dxa"/>
            <w:bottom w:w="0" w:type="dxa"/>
            <w:right w:w="0" w:type="dxa"/>
          </w:tblCellMar>
        </w:tblPrEx>
        <w:trPr>
          <w:trHeight w:val="570"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信息内容</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上一年项目数量</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本年增/减</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处理决定数量</w:t>
            </w:r>
          </w:p>
        </w:tc>
      </w:tr>
      <w:tr>
        <w:tblPrEx>
          <w:tblCellMar>
            <w:top w:w="0" w:type="dxa"/>
            <w:left w:w="0" w:type="dxa"/>
            <w:bottom w:w="0" w:type="dxa"/>
            <w:right w:w="0" w:type="dxa"/>
          </w:tblCellMar>
        </w:tblPrEx>
        <w:trPr>
          <w:trHeight w:val="420"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行政许可</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0</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0</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405"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其他对外管理服务事项</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0</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r>
      <w:tr>
        <w:tblPrEx>
          <w:tblCellMar>
            <w:top w:w="0" w:type="dxa"/>
            <w:left w:w="0" w:type="dxa"/>
            <w:bottom w:w="0" w:type="dxa"/>
            <w:right w:w="0" w:type="dxa"/>
          </w:tblCellMar>
        </w:tblPrEx>
        <w:trPr>
          <w:trHeight w:val="405" w:hRule="atLeast"/>
          <w:jc w:val="center"/>
        </w:trPr>
        <w:tc>
          <w:tcPr>
            <w:tcW w:w="8580" w:type="dxa"/>
            <w:gridSpan w:val="4"/>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第二十条第（六）项</w:t>
            </w:r>
          </w:p>
        </w:tc>
      </w:tr>
      <w:tr>
        <w:tblPrEx>
          <w:tblCellMar>
            <w:top w:w="0" w:type="dxa"/>
            <w:left w:w="0" w:type="dxa"/>
            <w:bottom w:w="0" w:type="dxa"/>
            <w:right w:w="0" w:type="dxa"/>
          </w:tblCellMar>
        </w:tblPrEx>
        <w:trPr>
          <w:trHeight w:val="570"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信息内容</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上一年项目数量</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本年增/减</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处理决定数量</w:t>
            </w:r>
          </w:p>
        </w:tc>
      </w:tr>
      <w:tr>
        <w:tblPrEx>
          <w:tblCellMar>
            <w:top w:w="0" w:type="dxa"/>
            <w:left w:w="0" w:type="dxa"/>
            <w:bottom w:w="0" w:type="dxa"/>
            <w:right w:w="0" w:type="dxa"/>
          </w:tblCellMar>
        </w:tblPrEx>
        <w:trPr>
          <w:trHeight w:val="405"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行政处罚</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0</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r>
      <w:tr>
        <w:tblPrEx>
          <w:tblCellMar>
            <w:top w:w="0" w:type="dxa"/>
            <w:left w:w="0" w:type="dxa"/>
            <w:bottom w:w="0" w:type="dxa"/>
            <w:right w:w="0" w:type="dxa"/>
          </w:tblCellMar>
        </w:tblPrEx>
        <w:trPr>
          <w:trHeight w:val="405"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行政强制</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c>
          <w:tcPr>
            <w:tcW w:w="175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0</w:t>
            </w:r>
          </w:p>
        </w:tc>
        <w:tc>
          <w:tcPr>
            <w:tcW w:w="1845"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r>
      <w:tr>
        <w:tblPrEx>
          <w:tblCellMar>
            <w:top w:w="0" w:type="dxa"/>
            <w:left w:w="0" w:type="dxa"/>
            <w:bottom w:w="0" w:type="dxa"/>
            <w:right w:w="0" w:type="dxa"/>
          </w:tblCellMar>
        </w:tblPrEx>
        <w:trPr>
          <w:trHeight w:val="480" w:hRule="atLeast"/>
          <w:jc w:val="center"/>
        </w:trPr>
        <w:tc>
          <w:tcPr>
            <w:tcW w:w="8580" w:type="dxa"/>
            <w:gridSpan w:val="4"/>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第二十条第（八）项</w:t>
            </w:r>
          </w:p>
        </w:tc>
      </w:tr>
      <w:tr>
        <w:tblPrEx>
          <w:tblCellMar>
            <w:top w:w="0" w:type="dxa"/>
            <w:left w:w="0" w:type="dxa"/>
            <w:bottom w:w="0" w:type="dxa"/>
            <w:right w:w="0" w:type="dxa"/>
          </w:tblCellMar>
        </w:tblPrEx>
        <w:trPr>
          <w:trHeight w:val="271"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信息内容</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上一年项目数量</w:t>
            </w:r>
          </w:p>
        </w:tc>
        <w:tc>
          <w:tcPr>
            <w:tcW w:w="3615" w:type="dxa"/>
            <w:gridSpan w:val="2"/>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本年增/减</w:t>
            </w:r>
          </w:p>
        </w:tc>
      </w:tr>
      <w:tr>
        <w:tblPrEx>
          <w:tblCellMar>
            <w:top w:w="0" w:type="dxa"/>
            <w:left w:w="0" w:type="dxa"/>
            <w:bottom w:w="0" w:type="dxa"/>
            <w:right w:w="0" w:type="dxa"/>
          </w:tblCellMar>
        </w:tblPrEx>
        <w:trPr>
          <w:trHeight w:val="555"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1"/>
                <w:szCs w:val="21"/>
              </w:rPr>
              <w:t>行政事业性收费</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rFonts w:hint="eastAsia" w:eastAsiaTheme="minorEastAsia"/>
                <w:color w:val="333333"/>
                <w:sz w:val="21"/>
                <w:szCs w:val="21"/>
                <w:lang w:val="en-US" w:eastAsia="zh-CN"/>
              </w:rPr>
            </w:pPr>
            <w:r>
              <w:rPr>
                <w:rFonts w:hint="eastAsia"/>
                <w:color w:val="333333"/>
                <w:sz w:val="21"/>
                <w:szCs w:val="21"/>
                <w:lang w:val="en-US" w:eastAsia="zh-CN"/>
              </w:rPr>
              <w:t>0</w:t>
            </w:r>
          </w:p>
        </w:tc>
        <w:tc>
          <w:tcPr>
            <w:tcW w:w="3615" w:type="dxa"/>
            <w:gridSpan w:val="2"/>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333333"/>
                <w:sz w:val="21"/>
                <w:szCs w:val="21"/>
              </w:rPr>
              <w:t>0</w:t>
            </w:r>
          </w:p>
        </w:tc>
      </w:tr>
      <w:tr>
        <w:tblPrEx>
          <w:tblCellMar>
            <w:top w:w="0" w:type="dxa"/>
            <w:left w:w="0" w:type="dxa"/>
            <w:bottom w:w="0" w:type="dxa"/>
            <w:right w:w="0" w:type="dxa"/>
          </w:tblCellMar>
        </w:tblPrEx>
        <w:trPr>
          <w:trHeight w:val="480" w:hRule="atLeast"/>
          <w:jc w:val="center"/>
        </w:trPr>
        <w:tc>
          <w:tcPr>
            <w:tcW w:w="8580" w:type="dxa"/>
            <w:gridSpan w:val="4"/>
            <w:tcBorders>
              <w:top w:val="nil"/>
              <w:left w:val="single" w:color="auto" w:sz="6" w:space="0"/>
              <w:bottom w:val="single" w:color="auto" w:sz="6" w:space="0"/>
              <w:right w:val="single" w:color="auto" w:sz="6" w:space="0"/>
            </w:tcBorders>
            <w:shd w:val="clear" w:color="auto" w:fill="FFFFFF"/>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第二十条第（九）项</w:t>
            </w:r>
          </w:p>
        </w:tc>
      </w:tr>
      <w:tr>
        <w:tblPrEx>
          <w:tblCellMar>
            <w:top w:w="0" w:type="dxa"/>
            <w:left w:w="0" w:type="dxa"/>
            <w:bottom w:w="0" w:type="dxa"/>
            <w:right w:w="0" w:type="dxa"/>
          </w:tblCellMar>
        </w:tblPrEx>
        <w:trPr>
          <w:trHeight w:val="555"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信息内容</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采购项目数量</w:t>
            </w:r>
          </w:p>
        </w:tc>
        <w:tc>
          <w:tcPr>
            <w:tcW w:w="3615" w:type="dxa"/>
            <w:gridSpan w:val="2"/>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采购总金额</w:t>
            </w:r>
          </w:p>
        </w:tc>
      </w:tr>
      <w:tr>
        <w:tblPrEx>
          <w:tblCellMar>
            <w:top w:w="0" w:type="dxa"/>
            <w:left w:w="0" w:type="dxa"/>
            <w:bottom w:w="0" w:type="dxa"/>
            <w:right w:w="0" w:type="dxa"/>
          </w:tblCellMar>
        </w:tblPrEx>
        <w:trPr>
          <w:trHeight w:val="555" w:hRule="atLeast"/>
          <w:jc w:val="center"/>
        </w:trPr>
        <w:tc>
          <w:tcPr>
            <w:tcW w:w="2985"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4"/>
                <w:szCs w:val="24"/>
              </w:rPr>
              <w:t>政府集中采购</w:t>
            </w:r>
          </w:p>
        </w:tc>
        <w:tc>
          <w:tcPr>
            <w:tcW w:w="1980" w:type="dxa"/>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left"/>
              <w:rPr>
                <w:color w:val="333333"/>
                <w:sz w:val="21"/>
                <w:szCs w:val="21"/>
              </w:rPr>
            </w:pPr>
            <w:r>
              <w:rPr>
                <w:rFonts w:hint="eastAsia" w:ascii="宋体" w:hAnsi="宋体" w:eastAsia="宋体" w:cs="宋体"/>
                <w:color w:val="000000"/>
                <w:sz w:val="24"/>
                <w:szCs w:val="24"/>
              </w:rPr>
              <w:t>0</w:t>
            </w:r>
          </w:p>
        </w:tc>
        <w:tc>
          <w:tcPr>
            <w:tcW w:w="3615" w:type="dxa"/>
            <w:gridSpan w:val="2"/>
            <w:tcBorders>
              <w:top w:val="nil"/>
              <w:left w:val="nil"/>
              <w:bottom w:val="single" w:color="auto" w:sz="6" w:space="0"/>
              <w:right w:val="single" w:color="auto" w:sz="6" w:space="0"/>
            </w:tcBorders>
            <w:shd w:val="clear" w:color="auto" w:fill="auto"/>
            <w:tcMar>
              <w:left w:w="90" w:type="dxa"/>
              <w:right w:w="90"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4"/>
                <w:szCs w:val="24"/>
              </w:rPr>
              <w:t>0元</w:t>
            </w:r>
          </w:p>
        </w:tc>
      </w:tr>
    </w:tbl>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三、收到和处理政府信息公开申请情况</w:t>
      </w:r>
    </w:p>
    <w:tbl>
      <w:tblPr>
        <w:tblStyle w:val="6"/>
        <w:tblW w:w="862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0"/>
        <w:gridCol w:w="990"/>
        <w:gridCol w:w="2130"/>
        <w:gridCol w:w="420"/>
        <w:gridCol w:w="705"/>
        <w:gridCol w:w="705"/>
        <w:gridCol w:w="855"/>
        <w:gridCol w:w="855"/>
        <w:gridCol w:w="705"/>
        <w:gridCol w:w="5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3840"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（本列数据的勾稽关系为：第一项加第二项之和，等于第三项加第四项之和）</w:t>
            </w:r>
          </w:p>
        </w:tc>
        <w:tc>
          <w:tcPr>
            <w:tcW w:w="4785"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0"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c>
          <w:tcPr>
            <w:tcW w:w="42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自然人</w:t>
            </w:r>
          </w:p>
        </w:tc>
        <w:tc>
          <w:tcPr>
            <w:tcW w:w="382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法人和其他组织</w:t>
            </w:r>
          </w:p>
        </w:tc>
        <w:tc>
          <w:tcPr>
            <w:tcW w:w="52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0"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宋体"/>
                <w:sz w:val="24"/>
                <w:szCs w:val="24"/>
              </w:rPr>
            </w:pPr>
          </w:p>
        </w:tc>
        <w:tc>
          <w:tcPr>
            <w:tcW w:w="42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商业企业</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科研机构</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社会公益组织</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法律服务机构</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其他</w:t>
            </w:r>
          </w:p>
        </w:tc>
        <w:tc>
          <w:tcPr>
            <w:tcW w:w="52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一、本年新收政府信息公开申请数量</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 xml:space="preserve">0 </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二、上年结转政府信息公开申请数量</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ind w:left="0" w:firstLine="210"/>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三、本年度办理结果</w:t>
            </w:r>
          </w:p>
        </w:tc>
        <w:tc>
          <w:tcPr>
            <w:tcW w:w="312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（一）予以公开</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12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（二）（区分处理的，只计这一情形，不计其他情形）</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（三）不予公开</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1.属于国家秘密</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2.其他法律行政法规禁止公开</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3.危及“三安全一稳定”</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4.保护第三方合法权益</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5.属于三类内部事务信息</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6.属于四类过程性信息</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7.属于行政执法案卷</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8.属于行政查询事项</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（四）无法提供</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1.本机关不掌握相关政府信息</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2.没有现成信息需要另行制作</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3.补正后申请内容仍不明确</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（五）不予处理</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1.信访举报投诉类申请</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2.重复申请</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3.要求提供公开出版物</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rPr>
                <w:color w:val="333333"/>
                <w:sz w:val="21"/>
                <w:szCs w:val="21"/>
              </w:rPr>
            </w:pPr>
            <w:r>
              <w:rPr>
                <w:rFonts w:hint="eastAsia" w:ascii="宋体" w:hAnsi="宋体" w:eastAsia="宋体" w:cs="宋体"/>
                <w:color w:val="000000"/>
                <w:sz w:val="21"/>
                <w:szCs w:val="21"/>
              </w:rPr>
              <w:t>4.无正当理由大量反复申请</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99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5.要求行政机关确认或重新出具已获取信息</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12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（六）其他处理</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312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（七）总计</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四、结转下年度继续办理</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8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bl>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四、政府信息公开行政复议、行政诉讼情况</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9"/>
        <w:gridCol w:w="599"/>
        <w:gridCol w:w="599"/>
        <w:gridCol w:w="599"/>
        <w:gridCol w:w="614"/>
        <w:gridCol w:w="600"/>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15"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行政复议</w:t>
            </w:r>
          </w:p>
        </w:tc>
        <w:tc>
          <w:tcPr>
            <w:tcW w:w="604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结果维持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结果纠正</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其他结果</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尚未审结</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总计</w:t>
            </w:r>
          </w:p>
        </w:tc>
        <w:tc>
          <w:tcPr>
            <w:tcW w:w="301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未经复议直接起诉</w:t>
            </w:r>
          </w:p>
        </w:tc>
        <w:tc>
          <w:tcPr>
            <w:tcW w:w="301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结果纠正</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其他结果</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尚未审结</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总计</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结果纠正</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其他结果</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尚未审结</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spacing w:line="405" w:lineRule="atLeast"/>
              <w:jc w:val="center"/>
              <w:rPr>
                <w:color w:val="333333"/>
                <w:sz w:val="21"/>
                <w:szCs w:val="21"/>
              </w:rPr>
            </w:pPr>
            <w:r>
              <w:rPr>
                <w:rFonts w:hint="eastAsia" w:ascii="宋体" w:hAnsi="宋体" w:eastAsia="宋体" w:cs="宋体"/>
                <w:color w:val="000000"/>
                <w:sz w:val="21"/>
                <w:szCs w:val="21"/>
              </w:rPr>
              <w:t>0</w:t>
            </w:r>
          </w:p>
        </w:tc>
      </w:tr>
    </w:tbl>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五、政府信息公开工作存在的主要问题及改进情况</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2020年，我局在政务公开工作中取得了较好的成绩，但还存在一些问题与不足：信息公开工作人员为兼职人员，导致部分信息公开工作推进不够及时有力。工作人员业务素质有待加强，尤其是对新规定新政策学习不够深入、研究不够透彻。</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今后，我局将坚持以习近平新时代中国特色社会主义思想为指导，积极参加省市各类信息公开工作培训，运用多种渠道学习信息公开相关知识，向市政府办公室、市政务信息化服务中心及相关业务部门的工作人员勤学习、勤沟通、勤对接，增强业务本领，做好政府信息公开工作，切实保障公众的知情权、参与权、监督权。</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六、其他需要报告的事项</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如对本报告有疑问，请与铜川市民政局办公室联系。通信地址：陕西省铜川市新区正阳路9号，邮编：727031，联系电话：0919－3185673，电子邮箱：tcsmzj0919@163.com。</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right="0" w:rightChars="0" w:firstLine="5270" w:firstLineChars="17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铜川市民政局</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4960" w:firstLineChars="16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2021年1月25日</w:t>
      </w:r>
    </w:p>
    <w:p>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sectPr>
      <w:footerReference r:id="rId3" w:type="default"/>
      <w:pgSz w:w="11906" w:h="16838"/>
      <w:pgMar w:top="2098" w:right="1474" w:bottom="1984" w:left="1587" w:header="567"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3B513"/>
    <w:multiLevelType w:val="singleLevel"/>
    <w:tmpl w:val="4713B51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02711"/>
    <w:rsid w:val="09E606BE"/>
    <w:rsid w:val="0A790104"/>
    <w:rsid w:val="11543EB4"/>
    <w:rsid w:val="1F1B21E8"/>
    <w:rsid w:val="20660DD3"/>
    <w:rsid w:val="22D910F1"/>
    <w:rsid w:val="25362307"/>
    <w:rsid w:val="27894C1F"/>
    <w:rsid w:val="31102F3D"/>
    <w:rsid w:val="3A4B098A"/>
    <w:rsid w:val="3C52720C"/>
    <w:rsid w:val="3EA55F9C"/>
    <w:rsid w:val="3FC135DA"/>
    <w:rsid w:val="43F50606"/>
    <w:rsid w:val="485F62B8"/>
    <w:rsid w:val="544F3FEB"/>
    <w:rsid w:val="546F43CD"/>
    <w:rsid w:val="55FC152B"/>
    <w:rsid w:val="5F812D5B"/>
    <w:rsid w:val="61A87B0E"/>
    <w:rsid w:val="62C65B16"/>
    <w:rsid w:val="6B0B628E"/>
    <w:rsid w:val="6B1441D7"/>
    <w:rsid w:val="6F9A2363"/>
    <w:rsid w:val="74D642C8"/>
    <w:rsid w:val="760321DF"/>
    <w:rsid w:val="77015176"/>
    <w:rsid w:val="7CF462E8"/>
    <w:rsid w:val="7E6A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dc:creator>
  <cp:lastModifiedBy>win7</cp:lastModifiedBy>
  <cp:lastPrinted>2021-01-25T06:05:00Z</cp:lastPrinted>
  <dcterms:modified xsi:type="dcterms:W3CDTF">2021-02-04T07:51:19Z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