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3" w:name="_GoBack"/>
      <w:r>
        <w:rPr>
          <w:rFonts w:hint="eastAsia" w:ascii="方正小标宋简体" w:hAnsi="方正小标宋简体" w:eastAsia="方正小标宋简体" w:cs="方正小标宋简体"/>
          <w:sz w:val="44"/>
          <w:szCs w:val="44"/>
          <w:lang w:eastAsia="zh-CN"/>
        </w:rPr>
        <w:t>铜川市市场监督管理局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2019年政府信息公开工作年度报告</w:t>
      </w:r>
    </w:p>
    <w:bookmarkEnd w:id="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要求，结合我局2019年度政府信息公开工作情况编制。全文包括概述，主动公开政府信息情况，收到和处理政府信息公开申请情况，政府信息公开行政复议、行政诉讼情况、存在的主要问题及改进情况、其他需要报告的事项六部分内容。本报告所列数据时限均为2019年1月1日至2019年12月31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一、概述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2019年2月16日铜川市市场监督管理局正式挂牌成立成立以来，我局认真贯彻落实《中华人民共和国政府信息公开条例》及有关文件精神，围绕铜川市政务公开年度工作要点，深入推进信息公开，深化公开内容，加强信息发布、解读，及时回应公众关注的问题，正确引导舆情，消除公众误解或质疑，提升公信力，取得了一定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（一）健全政务公开工作机制。</w:t>
      </w:r>
      <w:r>
        <w:rPr>
          <w:rFonts w:hint="eastAsia" w:ascii="仿宋_GB2312" w:hAnsi="仿宋_GB2312" w:eastAsia="仿宋_GB2312" w:cs="仿宋_GB2312"/>
          <w:sz w:val="32"/>
          <w:szCs w:val="32"/>
          <w:lang w:val="en-US" w:eastAsia="zh-CN"/>
        </w:rPr>
        <w:t>一是认真落实国务院办公厅、省政府办公厅、市政府办公室2019年度政务公开工作要点。熟读并领会政务公开的工作重点，明晰工作任务，并将工作要点细化分解，确保各项任务落实。二是加强政务公开业务培训。积极组织干部参加政务公开、政府信息公开等方面的业务培训和研讨交流，着力强化干部在互联网环境下的政务公开理念，提高推动政务公开工作的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（二）不断丰富政务公开形式。</w:t>
      </w:r>
      <w:r>
        <w:rPr>
          <w:rFonts w:hint="eastAsia" w:ascii="仿宋_GB2312" w:hAnsi="仿宋_GB2312" w:eastAsia="仿宋_GB2312" w:cs="仿宋_GB2312"/>
          <w:sz w:val="32"/>
          <w:szCs w:val="32"/>
          <w:lang w:val="en-US" w:eastAsia="zh-CN"/>
        </w:rPr>
        <w:t>一是依托铜川市市场监督管理局门户网站，推进电子政务建设和网上政务公开。把门户网站列为政务公开和政府信息公开的重要窗口，开设了机构职能、新闻动态、政务公开、政务服务、互动交流等栏目。在网站首页设立局长信箱、意见征集、咨询、投诉建议专栏，加强政民互动。并适时开设扫黑除恶、创建全国文明城市、食品安全检测、“五进”科普宣传等专栏。二是在深入推进“互联网+政务服务”工作，积极探索线上线下深度融合的审批形式，将涉及市场监管领域高频热点便民服务事项纳入陕西政务服务网，进一步实现网上申报、在线审批和全程监管，通过网上在线审批达到压缩审批时限的目的，为全面优化铜川市</w:t>
      </w:r>
      <w:r>
        <w:rPr>
          <w:rFonts w:hint="eastAsia" w:ascii="仿宋_GB2312" w:hAnsi="仿宋_GB2312" w:eastAsia="仿宋_GB2312" w:cs="仿宋_GB2312"/>
          <w:i w:val="0"/>
          <w:caps w:val="0"/>
          <w:color w:val="333333"/>
          <w:spacing w:val="0"/>
          <w:sz w:val="32"/>
          <w:szCs w:val="32"/>
          <w:shd w:val="clear" w:fill="FFFFFF"/>
        </w:rPr>
        <w:t>营商环境提供有效支撑。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（三）努力提升政务公开实效性。</w:t>
      </w:r>
      <w:r>
        <w:rPr>
          <w:rFonts w:hint="eastAsia" w:ascii="仿宋_GB2312" w:hAnsi="仿宋_GB2312" w:eastAsia="仿宋_GB2312" w:cs="仿宋_GB2312"/>
          <w:sz w:val="32"/>
          <w:szCs w:val="32"/>
          <w:lang w:val="en-US" w:eastAsia="zh-CN"/>
        </w:rPr>
        <w:t>一是公开的内容更加充实。除编制政务公开指南、更新主动公开具体目录，明确公开的范围、内容、形式及制度外，还及时增设了政策解读、政策法规栏目，全面解读政策法规。对2020年1月1日起实施的《定制式医疗器械监督管理规定（试行）》以及《创新医疗器械特别审查程序》、疫苗追溯标准规范等及时宣传解读，提高群众、企业知晓率。二是公开的重点更加突出。结合当前工作重点，及时开设“扫黑除恶”“创建全国文明城市”等专栏，全面宣传最新工作动态与应知应会知识，不断扩大宣传覆盖面，提升宣传实效。针对群众关注的食药安全热点问题，开设“食品安全检测”专栏，按照依法科学、严谨规范、及时准确、公平公正的原则，定期更新发布食品药品监督抽检信息与不合格食品核查处置情况的公告，主动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（四）及时主动公开政府信息。</w:t>
      </w:r>
      <w:r>
        <w:rPr>
          <w:rFonts w:hint="eastAsia" w:ascii="仿宋_GB2312" w:hAnsi="仿宋_GB2312" w:eastAsia="仿宋_GB2312" w:cs="仿宋_GB2312"/>
          <w:sz w:val="32"/>
          <w:szCs w:val="32"/>
          <w:lang w:val="en-US" w:eastAsia="zh-CN"/>
        </w:rPr>
        <w:t>2019年通过我局门户网站、“铜川市场监管”微信公众号，多渠道、多形式宣传报道市场监管工作动态、工作成效，向群众传递最新市场监管工作信息，扩大政府信息公开的影响力和覆盖面。全年主动公开政府信息1631条，其中概况类信息3条、政务动态类信息1575条、解读类信息32条、征集意见类信息3条，通过局长信箱回应并公开公众关注热点30条；通过微信公众号发布工作动态信息、区县市场监管信息、创文类信息、扫黑除恶类信息、科普类信息280余条。</w:t>
      </w:r>
    </w:p>
    <w:p>
      <w:pPr>
        <w:tabs>
          <w:tab w:val="left" w:pos="7791"/>
        </w:tabs>
        <w:ind w:firstLine="646" w:firstLineChars="202"/>
        <w:rPr>
          <w:rFonts w:hint="eastAsia" w:ascii="黑体" w:hAnsi="黑体" w:eastAsia="黑体" w:cs="黑体"/>
          <w:snapToGrid w:val="0"/>
          <w:kern w:val="32"/>
          <w:sz w:val="32"/>
          <w:szCs w:val="32"/>
          <w:lang w:val="zh-CN"/>
        </w:rPr>
      </w:pPr>
      <w:bookmarkStart w:id="0" w:name="bookmark28"/>
    </w:p>
    <w:p>
      <w:pPr>
        <w:tabs>
          <w:tab w:val="left" w:pos="7791"/>
        </w:tabs>
        <w:ind w:firstLine="646" w:firstLineChars="202"/>
        <w:rPr>
          <w:rFonts w:hint="eastAsia" w:ascii="黑体" w:hAnsi="黑体" w:eastAsia="黑体" w:cs="黑体"/>
          <w:snapToGrid w:val="0"/>
          <w:kern w:val="32"/>
          <w:sz w:val="32"/>
          <w:szCs w:val="32"/>
          <w:lang w:val="zh-CN"/>
        </w:rPr>
      </w:pPr>
    </w:p>
    <w:p>
      <w:pPr>
        <w:tabs>
          <w:tab w:val="left" w:pos="7791"/>
        </w:tabs>
        <w:ind w:firstLine="646" w:firstLineChars="202"/>
        <w:rPr>
          <w:rFonts w:hint="eastAsia" w:ascii="黑体" w:hAnsi="黑体" w:eastAsia="黑体" w:cs="黑体"/>
          <w:snapToGrid w:val="0"/>
          <w:kern w:val="32"/>
          <w:sz w:val="32"/>
          <w:szCs w:val="32"/>
          <w:lang w:val="zh-CN"/>
        </w:rPr>
      </w:pPr>
    </w:p>
    <w:p>
      <w:pPr>
        <w:tabs>
          <w:tab w:val="left" w:pos="7791"/>
        </w:tabs>
        <w:ind w:firstLine="646" w:firstLineChars="202"/>
        <w:rPr>
          <w:rFonts w:hint="eastAsia" w:ascii="黑体" w:hAnsi="黑体" w:eastAsia="黑体" w:cs="黑体"/>
          <w:snapToGrid w:val="0"/>
          <w:kern w:val="32"/>
          <w:sz w:val="32"/>
          <w:szCs w:val="32"/>
          <w:lang w:val="zh-CN"/>
        </w:rPr>
      </w:pPr>
    </w:p>
    <w:p>
      <w:pPr>
        <w:tabs>
          <w:tab w:val="left" w:pos="7791"/>
        </w:tabs>
        <w:ind w:firstLine="646" w:firstLineChars="202"/>
        <w:rPr>
          <w:rFonts w:hint="eastAsia" w:ascii="黑体" w:hAnsi="黑体" w:eastAsia="黑体" w:cs="黑体"/>
          <w:snapToGrid w:val="0"/>
          <w:kern w:val="32"/>
          <w:sz w:val="32"/>
          <w:szCs w:val="32"/>
          <w:lang w:val="zh-CN"/>
        </w:rPr>
      </w:pPr>
    </w:p>
    <w:p>
      <w:pPr>
        <w:tabs>
          <w:tab w:val="left" w:pos="7791"/>
        </w:tabs>
        <w:ind w:firstLine="646" w:firstLineChars="202"/>
        <w:rPr>
          <w:rFonts w:hint="eastAsia" w:ascii="黑体" w:hAnsi="黑体" w:eastAsia="黑体" w:cs="黑体"/>
          <w:snapToGrid w:val="0"/>
          <w:kern w:val="32"/>
          <w:sz w:val="32"/>
          <w:szCs w:val="32"/>
          <w:lang w:val="zh-CN"/>
        </w:rPr>
      </w:pPr>
    </w:p>
    <w:p>
      <w:pPr>
        <w:tabs>
          <w:tab w:val="left" w:pos="7791"/>
        </w:tabs>
        <w:ind w:firstLine="646" w:firstLineChars="202"/>
        <w:rPr>
          <w:rFonts w:hint="eastAsia" w:ascii="黑体" w:hAnsi="黑体" w:eastAsia="黑体" w:cs="黑体"/>
          <w:snapToGrid w:val="0"/>
          <w:kern w:val="32"/>
          <w:sz w:val="32"/>
          <w:szCs w:val="32"/>
          <w:lang w:val="zh-CN"/>
        </w:rPr>
      </w:pPr>
    </w:p>
    <w:p>
      <w:pPr>
        <w:pStyle w:val="2"/>
        <w:rPr>
          <w:rFonts w:hint="eastAsia" w:ascii="黑体" w:hAnsi="黑体" w:eastAsia="黑体" w:cs="黑体"/>
          <w:snapToGrid w:val="0"/>
          <w:kern w:val="32"/>
          <w:sz w:val="32"/>
          <w:szCs w:val="32"/>
          <w:lang w:val="zh-CN"/>
        </w:rPr>
      </w:pPr>
    </w:p>
    <w:p>
      <w:pPr>
        <w:pStyle w:val="2"/>
        <w:rPr>
          <w:rFonts w:hint="eastAsia" w:ascii="黑体" w:hAnsi="黑体" w:eastAsia="黑体" w:cs="黑体"/>
          <w:snapToGrid w:val="0"/>
          <w:kern w:val="32"/>
          <w:sz w:val="32"/>
          <w:szCs w:val="32"/>
          <w:lang w:val="zh-CN"/>
        </w:rPr>
      </w:pPr>
    </w:p>
    <w:p>
      <w:pPr>
        <w:tabs>
          <w:tab w:val="left" w:pos="7791"/>
        </w:tabs>
        <w:ind w:firstLine="646" w:firstLineChars="202"/>
        <w:rPr>
          <w:rFonts w:hint="eastAsia" w:ascii="黑体" w:hAnsi="黑体" w:eastAsia="黑体" w:cs="黑体"/>
          <w:snapToGrid w:val="0"/>
          <w:kern w:val="32"/>
          <w:sz w:val="32"/>
          <w:szCs w:val="32"/>
          <w:lang w:val="zh-CN"/>
        </w:rPr>
      </w:pPr>
    </w:p>
    <w:p>
      <w:pPr>
        <w:pStyle w:val="2"/>
        <w:rPr>
          <w:rFonts w:hint="eastAsia"/>
          <w:lang w:val="zh-CN"/>
        </w:rPr>
      </w:pPr>
    </w:p>
    <w:p>
      <w:pPr>
        <w:tabs>
          <w:tab w:val="left" w:pos="7791"/>
        </w:tabs>
        <w:ind w:firstLine="646" w:firstLineChars="202"/>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二</w:t>
      </w:r>
      <w:bookmarkEnd w:id="0"/>
      <w:r>
        <w:rPr>
          <w:rFonts w:hint="eastAsia" w:ascii="黑体" w:hAnsi="黑体" w:eastAsia="黑体" w:cs="黑体"/>
          <w:snapToGrid w:val="0"/>
          <w:kern w:val="32"/>
          <w:sz w:val="32"/>
          <w:szCs w:val="32"/>
          <w:lang w:val="zh-CN"/>
        </w:rPr>
        <w:t>、主动公开政府信息情况</w:t>
      </w:r>
    </w:p>
    <w:tbl>
      <w:tblPr>
        <w:tblStyle w:val="6"/>
        <w:tblW w:w="0" w:type="auto"/>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第二十条第（一）项</w:t>
            </w:r>
          </w:p>
        </w:tc>
      </w:tr>
      <w:tr>
        <w:tblPrEx>
          <w:tblCellMar>
            <w:top w:w="0" w:type="dxa"/>
            <w:left w:w="10" w:type="dxa"/>
            <w:bottom w:w="0" w:type="dxa"/>
            <w:right w:w="10" w:type="dxa"/>
          </w:tblCellMar>
        </w:tblPrEx>
        <w:trPr>
          <w:trHeight w:val="610"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本年新制作数量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对外公开总数量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规章</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规范性文件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第二十条第（五）项</w:t>
            </w:r>
          </w:p>
        </w:tc>
      </w:tr>
      <w:tr>
        <w:tblPrEx>
          <w:tblCellMar>
            <w:top w:w="0" w:type="dxa"/>
            <w:left w:w="10" w:type="dxa"/>
            <w:bottom w:w="0" w:type="dxa"/>
            <w:right w:w="10" w:type="dxa"/>
          </w:tblCellMar>
        </w:tblPrEx>
        <w:trPr>
          <w:trHeight w:val="618"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行政许可</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default"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33</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default" w:ascii="宋体" w:hAnsi="宋体" w:cs="宋体" w:eastAsiaTheme="minorEastAsia"/>
                <w:snapToGrid w:val="0"/>
                <w:kern w:val="32"/>
                <w:szCs w:val="21"/>
                <w:lang w:val="en-US" w:eastAsia="zh-CN"/>
              </w:rPr>
            </w:pPr>
            <w:r>
              <w:rPr>
                <w:rFonts w:hint="eastAsia" w:ascii="宋体" w:hAnsi="宋体" w:cs="宋体"/>
                <w:snapToGrid w:val="0"/>
                <w:kern w:val="32"/>
                <w:szCs w:val="21"/>
                <w:lang w:val="zh-CN"/>
              </w:rPr>
              <w:t>减</w:t>
            </w:r>
            <w:r>
              <w:rPr>
                <w:rFonts w:hint="eastAsia" w:ascii="宋体" w:hAnsi="宋体" w:cs="宋体"/>
                <w:snapToGrid w:val="0"/>
                <w:kern w:val="32"/>
                <w:szCs w:val="21"/>
                <w:lang w:val="en-US" w:eastAsia="zh-CN"/>
              </w:rPr>
              <w:t>18</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default"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1151</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其他对外管理服务事项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501"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第二十条第（六）项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行政处罚</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6</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default"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56</w:t>
            </w:r>
          </w:p>
        </w:tc>
      </w:tr>
      <w:tr>
        <w:tblPrEx>
          <w:tblCellMar>
            <w:top w:w="0" w:type="dxa"/>
            <w:left w:w="10" w:type="dxa"/>
            <w:bottom w:w="0" w:type="dxa"/>
            <w:right w:w="10" w:type="dxa"/>
          </w:tblCellMar>
        </w:tblPrEx>
        <w:trPr>
          <w:trHeight w:val="501"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行政强制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第二十条第（八）项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行政事业性收费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1</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第二十条第（九）项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采购总金额</w:t>
            </w:r>
          </w:p>
        </w:tc>
      </w:tr>
      <w:tr>
        <w:tblPrEx>
          <w:tblCellMar>
            <w:top w:w="0" w:type="dxa"/>
            <w:left w:w="10" w:type="dxa"/>
            <w:bottom w:w="0" w:type="dxa"/>
            <w:right w:w="10" w:type="dxa"/>
          </w:tblCellMar>
        </w:tblPrEx>
        <w:trPr>
          <w:trHeight w:val="508" w:hRule="exact"/>
          <w:jc w:val="center"/>
        </w:trPr>
        <w:tc>
          <w:tcPr>
            <w:tcW w:w="2192"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3</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ind w:firstLine="420" w:firstLineChars="200"/>
              <w:jc w:val="left"/>
              <w:rPr>
                <w:rFonts w:hint="default" w:ascii="宋体" w:hAnsi="宋体" w:cs="宋体" w:eastAsiaTheme="minorEastAsia"/>
                <w:snapToGrid w:val="0"/>
                <w:kern w:val="32"/>
                <w:szCs w:val="21"/>
                <w:lang w:val="en-US" w:eastAsia="zh-CN"/>
              </w:rPr>
            </w:pPr>
            <w:r>
              <w:rPr>
                <w:rFonts w:hint="eastAsia" w:ascii="宋体" w:hAnsi="宋体" w:cs="宋体"/>
                <w:snapToGrid w:val="0"/>
                <w:kern w:val="32"/>
                <w:szCs w:val="21"/>
                <w:lang w:val="en-US" w:eastAsia="zh-CN"/>
              </w:rPr>
              <w:t>1863272.00</w:t>
            </w:r>
          </w:p>
        </w:tc>
      </w:tr>
    </w:tbl>
    <w:p>
      <w:pPr>
        <w:spacing w:line="1" w:lineRule="exact"/>
        <w:rPr>
          <w:sz w:val="2"/>
          <w:szCs w:val="2"/>
        </w:rPr>
      </w:pPr>
      <w:r>
        <w:br w:type="page"/>
      </w:r>
    </w:p>
    <w:p>
      <w:pPr>
        <w:tabs>
          <w:tab w:val="left" w:pos="7791"/>
        </w:tabs>
        <w:ind w:firstLine="646" w:firstLineChars="202"/>
        <w:rPr>
          <w:rFonts w:hint="eastAsia" w:ascii="黑体" w:hAnsi="黑体" w:eastAsia="黑体" w:cs="黑体"/>
          <w:snapToGrid w:val="0"/>
          <w:kern w:val="32"/>
          <w:sz w:val="32"/>
          <w:szCs w:val="32"/>
          <w:lang w:val="zh-CN"/>
        </w:rPr>
      </w:pPr>
      <w:bookmarkStart w:id="1" w:name="bookmark29"/>
      <w:r>
        <w:rPr>
          <w:rFonts w:hint="eastAsia" w:ascii="黑体" w:hAnsi="黑体" w:eastAsia="黑体" w:cs="黑体"/>
          <w:snapToGrid w:val="0"/>
          <w:kern w:val="32"/>
          <w:sz w:val="32"/>
          <w:szCs w:val="32"/>
          <w:lang w:val="zh-CN"/>
        </w:rPr>
        <w:t>三</w:t>
      </w:r>
      <w:bookmarkEnd w:id="1"/>
      <w:r>
        <w:rPr>
          <w:rFonts w:hint="eastAsia" w:ascii="黑体" w:hAnsi="黑体" w:eastAsia="黑体" w:cs="黑体"/>
          <w:snapToGrid w:val="0"/>
          <w:kern w:val="32"/>
          <w:sz w:val="32"/>
          <w:szCs w:val="32"/>
          <w:lang w:val="zh-CN"/>
        </w:rPr>
        <w:t>、收到和处理政府信息公开申请情况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801" w:type="dxa"/>
            <w:gridSpan w:val="3"/>
            <w:vMerge w:val="restart"/>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（本列数据的勾稽关系为：第一项加第二项之和， 等于第三项加第四项之和）</w:t>
            </w:r>
          </w:p>
        </w:tc>
        <w:tc>
          <w:tcPr>
            <w:tcW w:w="3963" w:type="dxa"/>
            <w:gridSpan w:val="7"/>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自然人</w:t>
            </w:r>
          </w:p>
        </w:tc>
        <w:tc>
          <w:tcPr>
            <w:tcW w:w="2790" w:type="dxa"/>
            <w:gridSpan w:val="5"/>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法人或其他组织</w:t>
            </w:r>
          </w:p>
        </w:tc>
        <w:tc>
          <w:tcPr>
            <w:tcW w:w="468"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商业 企业</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科研 机构</w:t>
            </w:r>
          </w:p>
        </w:tc>
        <w:tc>
          <w:tcPr>
            <w:tcW w:w="555"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社会 公益 组织</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法律 服务 机构</w:t>
            </w:r>
          </w:p>
        </w:tc>
        <w:tc>
          <w:tcPr>
            <w:tcW w:w="525" w:type="dxa"/>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w:t>
            </w:r>
          </w:p>
        </w:tc>
        <w:tc>
          <w:tcPr>
            <w:tcW w:w="468" w:type="dxa"/>
            <w:vMerge w:val="continue"/>
            <w:shd w:val="clear" w:color="auto" w:fill="FFFFFF"/>
            <w:noWrap w:val="0"/>
            <w:vAlign w:val="center"/>
          </w:tcPr>
          <w:p>
            <w:pPr>
              <w:autoSpaceDE w:val="0"/>
              <w:autoSpaceDN w:val="0"/>
              <w:jc w:val="center"/>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一、本年新收政府信息公开申请数量</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二、上年结转政府信息公开申请数量</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restart"/>
            <w:shd w:val="clear" w:color="auto" w:fill="FFFFFF"/>
            <w:noWrap w:val="0"/>
            <w:textDirection w:val="tbRlV"/>
            <w:vAlign w:val="center"/>
          </w:tcPr>
          <w:p>
            <w:pPr>
              <w:autoSpaceDE w:val="0"/>
              <w:autoSpaceDN w:val="0"/>
              <w:jc w:val="center"/>
              <w:rPr>
                <w:rFonts w:hint="eastAsia" w:ascii="宋体" w:hAnsi="宋体" w:cs="宋体"/>
                <w:snapToGrid w:val="0"/>
                <w:spacing w:val="2"/>
                <w:kern w:val="32"/>
                <w:szCs w:val="21"/>
                <w:lang w:val="zh-CN"/>
              </w:rPr>
            </w:pPr>
            <w:r>
              <w:rPr>
                <w:rFonts w:hint="eastAsia" w:ascii="宋体" w:hAnsi="宋体" w:cs="宋体"/>
                <w:snapToGrid w:val="0"/>
                <w:kern w:val="32"/>
                <w:szCs w:val="21"/>
                <w:lang w:val="zh-CN"/>
              </w:rPr>
              <w:t>三、本年度办理结果</w:t>
            </w: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（一）予以公开</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（二）部分公开（区分处理的，只计这一情形，不计其他情形）</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（三）不予公开</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属于国家秘密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其他法律行政法规禁止公开</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危及“三安全一稳定”</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4</w:t>
            </w:r>
            <w:r>
              <w:rPr>
                <w:rFonts w:hint="eastAsia" w:ascii="宋体" w:hAnsi="宋体" w:cs="宋体"/>
                <w:snapToGrid w:val="0"/>
                <w:kern w:val="32"/>
                <w:szCs w:val="21"/>
              </w:rPr>
              <w:t>.</w:t>
            </w:r>
            <w:r>
              <w:rPr>
                <w:rFonts w:hint="eastAsia" w:ascii="宋体" w:hAnsi="宋体" w:cs="宋体"/>
                <w:snapToGrid w:val="0"/>
                <w:kern w:val="32"/>
                <w:szCs w:val="21"/>
                <w:lang w:val="zh-CN"/>
              </w:rPr>
              <w:t>保护第三方合法权益</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属于三类内部事务信息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6.</w:t>
            </w:r>
            <w:r>
              <w:rPr>
                <w:rFonts w:hint="eastAsia" w:ascii="宋体" w:hAnsi="宋体" w:cs="宋体"/>
                <w:snapToGrid w:val="0"/>
                <w:kern w:val="32"/>
                <w:szCs w:val="21"/>
                <w:lang w:val="zh-CN"/>
              </w:rPr>
              <w:t>属于四类过程性信息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7.</w:t>
            </w:r>
            <w:r>
              <w:rPr>
                <w:rFonts w:hint="eastAsia" w:ascii="宋体" w:hAnsi="宋体" w:cs="宋体"/>
                <w:snapToGrid w:val="0"/>
                <w:kern w:val="32"/>
                <w:szCs w:val="21"/>
                <w:lang w:val="zh-CN"/>
              </w:rPr>
              <w:t>属于行政执法案卷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8.</w:t>
            </w:r>
            <w:r>
              <w:rPr>
                <w:rFonts w:hint="eastAsia" w:ascii="宋体" w:hAnsi="宋体" w:cs="宋体"/>
                <w:snapToGrid w:val="0"/>
                <w:kern w:val="32"/>
                <w:szCs w:val="21"/>
                <w:lang w:val="zh-CN"/>
              </w:rPr>
              <w:t>属于行政查询事项</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（四）无法提供</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1.</w:t>
            </w:r>
            <w:r>
              <w:rPr>
                <w:rFonts w:hint="eastAsia" w:ascii="宋体" w:hAnsi="宋体" w:cs="宋体"/>
                <w:snapToGrid w:val="0"/>
                <w:spacing w:val="-6"/>
                <w:kern w:val="32"/>
                <w:szCs w:val="21"/>
                <w:lang w:val="zh-CN"/>
              </w:rPr>
              <w:t>我局不掌握相关政府信息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没有现成信息需要另行制作</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补正后申请内容仍不明确</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（五）不予处理</w:t>
            </w: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信访举报投诉类申请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2.</w:t>
            </w:r>
            <w:r>
              <w:rPr>
                <w:rFonts w:hint="eastAsia" w:ascii="宋体" w:hAnsi="宋体" w:cs="宋体"/>
                <w:snapToGrid w:val="0"/>
                <w:kern w:val="32"/>
                <w:szCs w:val="21"/>
                <w:lang w:val="zh-CN"/>
              </w:rPr>
              <w:t>重复申请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3.</w:t>
            </w:r>
            <w:r>
              <w:rPr>
                <w:rFonts w:hint="eastAsia" w:ascii="宋体" w:hAnsi="宋体" w:cs="宋体"/>
                <w:snapToGrid w:val="0"/>
                <w:kern w:val="32"/>
                <w:szCs w:val="21"/>
                <w:lang w:val="zh-CN"/>
              </w:rPr>
              <w:t>要求提供公开出版物</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4.</w:t>
            </w:r>
            <w:r>
              <w:rPr>
                <w:rFonts w:hint="eastAsia" w:ascii="宋体" w:hAnsi="宋体" w:cs="宋体"/>
                <w:snapToGrid w:val="0"/>
                <w:kern w:val="32"/>
                <w:szCs w:val="21"/>
                <w:lang w:val="zh-CN"/>
              </w:rPr>
              <w:t>无正当理由大量反复申请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要求行政机关确认或重新出具已获取信息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（六）其他处理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（七）总计</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四、结转下年度继续办理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bl>
    <w:p>
      <w:pPr>
        <w:tabs>
          <w:tab w:val="left" w:pos="7791"/>
        </w:tabs>
        <w:ind w:firstLine="480" w:firstLineChars="150"/>
        <w:rPr>
          <w:rFonts w:hint="eastAsia" w:ascii="黑体" w:hAnsi="黑体" w:eastAsia="黑体" w:cs="黑体"/>
          <w:snapToGrid w:val="0"/>
          <w:kern w:val="32"/>
          <w:sz w:val="32"/>
          <w:szCs w:val="32"/>
          <w:lang w:val="zh-CN"/>
        </w:rPr>
      </w:pPr>
      <w:bookmarkStart w:id="2" w:name="bookmark30"/>
    </w:p>
    <w:p>
      <w:pPr>
        <w:tabs>
          <w:tab w:val="left" w:pos="7791"/>
        </w:tabs>
        <w:ind w:firstLine="480" w:firstLineChars="150"/>
        <w:rPr>
          <w:rFonts w:hint="eastAsia" w:ascii="黑体" w:hAnsi="黑体" w:eastAsia="黑体" w:cs="黑体"/>
          <w:snapToGrid w:val="0"/>
          <w:kern w:val="32"/>
          <w:sz w:val="32"/>
          <w:szCs w:val="32"/>
          <w:lang w:val="zh-CN"/>
        </w:rPr>
      </w:pPr>
    </w:p>
    <w:p>
      <w:pPr>
        <w:tabs>
          <w:tab w:val="left" w:pos="7791"/>
        </w:tabs>
        <w:ind w:firstLine="480" w:firstLineChars="150"/>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四</w:t>
      </w:r>
      <w:bookmarkEnd w:id="2"/>
      <w:r>
        <w:rPr>
          <w:rFonts w:hint="eastAsia" w:ascii="黑体" w:hAnsi="黑体" w:eastAsia="黑体" w:cs="黑体"/>
          <w:snapToGrid w:val="0"/>
          <w:kern w:val="32"/>
          <w:sz w:val="32"/>
          <w:szCs w:val="32"/>
          <w:lang w:val="zh-CN"/>
        </w:rPr>
        <w:t>、政府信息公开行政复议、行政诉讼情况</w:t>
      </w:r>
    </w:p>
    <w:tbl>
      <w:tblPr>
        <w:tblStyle w:val="6"/>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2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70"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49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675" w:type="dxa"/>
            <w:vMerge w:val="restart"/>
            <w:tcBorders>
              <w:top w:val="single" w:color="auto" w:sz="4" w:space="0"/>
              <w:left w:val="single" w:color="auto" w:sz="4" w:space="0"/>
            </w:tcBorders>
            <w:shd w:val="clear" w:color="auto" w:fill="FFFFFF"/>
            <w:noWrap w:val="0"/>
            <w:textDirection w:val="tbRlV"/>
            <w:vAlign w:val="bottom"/>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c>
          <w:tcPr>
            <w:tcW w:w="2805"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2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49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675" w:type="dxa"/>
            <w:vMerge w:val="continue"/>
            <w:tcBorders>
              <w:left w:val="single" w:color="auto" w:sz="4" w:space="0"/>
            </w:tcBorders>
            <w:shd w:val="clear" w:color="auto" w:fill="FFFFFF"/>
            <w:noWrap w:val="0"/>
            <w:textDirection w:val="tbRlV"/>
            <w:vAlign w:val="bottom"/>
          </w:tcPr>
          <w:p>
            <w:pPr>
              <w:autoSpaceDE w:val="0"/>
              <w:autoSpaceDN w:val="0"/>
              <w:jc w:val="left"/>
              <w:rPr>
                <w:rFonts w:hint="eastAsia" w:ascii="宋体" w:hAnsi="宋体" w:cs="宋体"/>
                <w:snapToGrid w:val="0"/>
                <w:kern w:val="32"/>
                <w:szCs w:val="21"/>
                <w:lang w:val="zh-CN"/>
              </w:rPr>
            </w:pPr>
          </w:p>
        </w:tc>
        <w:tc>
          <w:tcPr>
            <w:tcW w:w="629"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8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4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41"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51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 计</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63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2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451" w:type="dxa"/>
            <w:tcBorders>
              <w:top w:val="single" w:color="auto" w:sz="4" w:space="0"/>
              <w:left w:val="single" w:color="auto" w:sz="4" w:space="0"/>
              <w:right w:val="single" w:color="auto" w:sz="4" w:space="0"/>
            </w:tcBorders>
            <w:shd w:val="clear" w:color="auto" w:fill="FFFFFF"/>
            <w:noWrap w:val="0"/>
            <w:textDirection w:val="tbRlV"/>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9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7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29"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8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4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41"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1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3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numPr>
          <w:ilvl w:val="0"/>
          <w:numId w:val="0"/>
        </w:numPr>
        <w:ind w:leftChars="0" w:firstLine="600" w:firstLineChars="200"/>
        <w:rPr>
          <w:rFonts w:hint="eastAsia" w:ascii="黑体" w:hAnsi="黑体" w:eastAsia="黑体" w:cs="黑体"/>
          <w:lang w:val="en-US" w:eastAsia="zh-CN"/>
        </w:rPr>
      </w:pPr>
      <w:r>
        <w:rPr>
          <w:rFonts w:hint="eastAsia" w:ascii="黑体" w:hAnsi="黑体" w:eastAsia="黑体" w:cs="黑体"/>
          <w:lang w:val="en-US" w:eastAsia="zh-CN"/>
        </w:rPr>
        <w:t>五、存在的主要问题及改进情况</w:t>
      </w:r>
    </w:p>
    <w:p>
      <w:pPr>
        <w:pStyle w:val="2"/>
        <w:numPr>
          <w:ilvl w:val="0"/>
          <w:numId w:val="0"/>
        </w:numPr>
        <w:ind w:leftChars="0" w:firstLine="600" w:firstLineChars="200"/>
        <w:rPr>
          <w:rFonts w:hint="eastAsia"/>
          <w:lang w:val="en-US" w:eastAsia="zh-CN"/>
        </w:rPr>
      </w:pPr>
      <w:r>
        <w:rPr>
          <w:rFonts w:hint="eastAsia" w:ascii="楷体_GB2312" w:hAnsi="楷体_GB2312" w:eastAsia="楷体_GB2312" w:cs="楷体_GB2312"/>
          <w:lang w:val="en-US" w:eastAsia="zh-CN"/>
        </w:rPr>
        <w:t>（一）存在问题。</w:t>
      </w:r>
      <w:r>
        <w:rPr>
          <w:rFonts w:hint="eastAsia"/>
          <w:lang w:val="en-US" w:eastAsia="zh-CN"/>
        </w:rPr>
        <w:t>我局政务公开工作取得了较好的成效，但离群众的期望和要求还存在一定的差距。一是政务公开工作人员的业务熟悉程度有待进一步提高。二是政务公开培训工作还没做到全员覆盖，有待进一步加强。三是机构改革后相关工作开展仍需进一步规范。</w:t>
      </w:r>
    </w:p>
    <w:p>
      <w:pPr>
        <w:pStyle w:val="2"/>
        <w:numPr>
          <w:ilvl w:val="0"/>
          <w:numId w:val="0"/>
        </w:numPr>
        <w:ind w:leftChars="0" w:firstLine="600" w:firstLineChars="200"/>
        <w:rPr>
          <w:rFonts w:hint="eastAsia"/>
          <w:lang w:val="en-US" w:eastAsia="zh-CN"/>
        </w:rPr>
      </w:pPr>
      <w:r>
        <w:rPr>
          <w:rFonts w:hint="eastAsia" w:ascii="楷体_GB2312" w:hAnsi="楷体_GB2312" w:eastAsia="楷体_GB2312" w:cs="楷体_GB2312"/>
          <w:lang w:val="en-US" w:eastAsia="zh-CN"/>
        </w:rPr>
        <w:t>（二）改进情况。</w:t>
      </w:r>
      <w:r>
        <w:rPr>
          <w:rFonts w:hint="eastAsia"/>
          <w:lang w:val="en-US" w:eastAsia="zh-CN"/>
        </w:rPr>
        <w:t>一是加强培训，进一步提升政务公开工作水平。加强政务公开工作业务的培训，进一步提高工作人员的政治思想素质和业务工作能力，不断提升公开工作的整体水平。二是加强督办，进一步确保政务公开工作落到实处。进一步落实公开工作的考核评估、监督检查、培训宣传等工作制度，加强对政务公开情况的监督检查，确保公开工作落到实处。</w:t>
      </w:r>
    </w:p>
    <w:p>
      <w:pPr>
        <w:pStyle w:val="2"/>
        <w:numPr>
          <w:ilvl w:val="0"/>
          <w:numId w:val="0"/>
        </w:numPr>
        <w:ind w:firstLine="600" w:firstLineChars="200"/>
        <w:rPr>
          <w:rFonts w:hint="eastAsia" w:ascii="黑体" w:hAnsi="黑体" w:eastAsia="黑体" w:cs="黑体"/>
          <w:lang w:val="en-US" w:eastAsia="zh-CN"/>
        </w:rPr>
      </w:pPr>
      <w:r>
        <w:rPr>
          <w:rFonts w:hint="eastAsia" w:ascii="黑体" w:hAnsi="黑体" w:eastAsia="黑体" w:cs="黑体"/>
          <w:lang w:val="en-US" w:eastAsia="zh-CN"/>
        </w:rPr>
        <w:t>六、其他需要报告的事项</w:t>
      </w:r>
    </w:p>
    <w:p>
      <w:pPr>
        <w:keepNext w:val="0"/>
        <w:keepLines w:val="0"/>
        <w:widowControl/>
        <w:suppressLineNumbers w:val="0"/>
        <w:jc w:val="left"/>
        <w:rPr>
          <w:rFonts w:hint="eastAsia" w:ascii="仿宋_GB2312" w:eastAsia="仿宋_GB2312" w:cs="仿宋_GB2312" w:hAnsiTheme="minorHAnsi"/>
          <w:kern w:val="0"/>
          <w:sz w:val="30"/>
          <w:szCs w:val="30"/>
          <w:lang w:val="en-US" w:eastAsia="zh-CN" w:bidi="ar-SA"/>
        </w:rPr>
      </w:pPr>
      <w:r>
        <w:rPr>
          <w:rFonts w:hint="eastAsia" w:ascii="仿宋_GB2312" w:eastAsia="仿宋_GB2312" w:cs="仿宋_GB2312" w:hAnsiTheme="minorHAnsi"/>
          <w:kern w:val="0"/>
          <w:sz w:val="30"/>
          <w:szCs w:val="30"/>
          <w:lang w:val="en-US" w:eastAsia="zh-CN" w:bidi="ar-SA"/>
        </w:rPr>
        <w:t>　　如对本报告有疑问，请与铜川市市场监管局办公室联系。（通信地址：陕西省铜川市新区正阳路19号，邮编：727031，联系电话：0919-2836033）</w:t>
      </w:r>
    </w:p>
    <w:p>
      <w:pPr>
        <w:pStyle w:val="2"/>
        <w:numPr>
          <w:ilvl w:val="0"/>
          <w:numId w:val="0"/>
        </w:numPr>
        <w:ind w:leftChars="0" w:firstLine="60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E1207"/>
    <w:rsid w:val="10C00BD7"/>
    <w:rsid w:val="32930496"/>
    <w:rsid w:val="3B2E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1"/>
      <w:szCs w:val="21"/>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yperlink"/>
    <w:basedOn w:val="7"/>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2020-01-09T06:35:00Z</dcterms:created>
  <dc:creator>Administrator</dc:creator>
  <cp:lastModifiedBy>Administrator</cp:lastModifiedBy>
  <dcterms:modified xsi:type="dcterms:W3CDTF">2021-01-22T04:03:33Z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