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0" w:right="0"/>
        <w:jc w:val="center"/>
        <w:rPr>
          <w:rFonts w:hint="eastAsia" w:ascii="黑体" w:hAnsi="黑体" w:eastAsia="黑体" w:cs="黑体"/>
          <w:b/>
          <w:color w:val="auto"/>
          <w:sz w:val="48"/>
          <w:szCs w:val="48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fill="FFFFFF"/>
        </w:rPr>
        <w:t>铜川市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fill="FFFFFF"/>
          <w:lang w:val="en-US" w:eastAsia="zh-CN"/>
        </w:rPr>
        <w:t>人力资源和社会保障局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fill="FFFFFF"/>
        </w:rPr>
        <w:t>20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fill="FFFFFF"/>
          <w:lang w:val="en-US" w:eastAsia="zh-CN"/>
        </w:rPr>
        <w:t>20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fill="FFFFFF"/>
        </w:rPr>
        <w:t>年政府信息公开工作年度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fill="FFFFFF"/>
        </w:rPr>
        <w:t>报告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25" w:lineRule="atLeast"/>
        <w:ind w:left="0" w:right="0"/>
        <w:jc w:val="both"/>
        <w:rPr>
          <w:rFonts w:hint="eastAsia" w:ascii="仿宋" w:hAnsi="仿宋" w:eastAsia="仿宋" w:cs="仿宋"/>
          <w:color w:val="auto"/>
          <w:sz w:val="27"/>
          <w:szCs w:val="27"/>
          <w:shd w:val="clear" w:fill="FFFFFF"/>
        </w:rPr>
      </w:pPr>
    </w:p>
    <w:p>
      <w:pPr>
        <w:rPr>
          <w:rFonts w:hint="eastAsia" w:ascii="仿宋" w:hAnsi="仿宋" w:eastAsia="仿宋" w:cs="仿宋"/>
          <w:color w:val="auto"/>
          <w:sz w:val="27"/>
          <w:szCs w:val="27"/>
          <w:shd w:val="clear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根据《中华人民共和国政府信息公开条例》（国令第711号）（以下简称《条例》），现公布铜川市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人力资源和社会保障局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年政府信息公开工作年度报告。本报告所列数据统计期限自20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年1月1日至20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年12月31日。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5" w:lineRule="atLeast"/>
        <w:ind w:right="0" w:rightChars="0"/>
        <w:jc w:val="both"/>
        <w:rPr>
          <w:rFonts w:hint="eastAsia" w:ascii="黑体" w:hAnsi="黑体" w:eastAsia="黑体" w:cs="黑体"/>
          <w:snapToGrid w:val="0"/>
          <w:color w:val="auto"/>
          <w:kern w:val="32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kern w:val="32"/>
          <w:sz w:val="32"/>
          <w:szCs w:val="32"/>
          <w:lang w:val="en-US" w:eastAsia="zh-CN"/>
        </w:rPr>
        <w:t>　　一、</w:t>
      </w:r>
      <w:r>
        <w:rPr>
          <w:rFonts w:hint="eastAsia" w:ascii="黑体" w:hAnsi="黑体" w:eastAsia="黑体" w:cs="黑体"/>
          <w:snapToGrid w:val="0"/>
          <w:color w:val="auto"/>
          <w:kern w:val="32"/>
          <w:sz w:val="32"/>
          <w:szCs w:val="32"/>
        </w:rPr>
        <w:t>总体情况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5" w:lineRule="atLeast"/>
        <w:ind w:right="0" w:rightChars="0"/>
        <w:jc w:val="both"/>
        <w:rPr>
          <w:rFonts w:hint="eastAsia" w:ascii="黑体" w:hAnsi="黑体" w:eastAsia="黑体" w:cs="黑体"/>
          <w:snapToGrid w:val="0"/>
          <w:color w:val="auto"/>
          <w:kern w:val="32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kern w:val="32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snapToGrid w:val="0"/>
          <w:color w:val="auto"/>
          <w:kern w:val="32"/>
          <w:sz w:val="32"/>
          <w:szCs w:val="32"/>
          <w:lang w:val="en-US" w:eastAsia="zh-CN"/>
        </w:rPr>
        <w:t xml:space="preserve">2020年，我局认真贯彻落实《条例》和中省市关于全面推进政务公开工作的系列部署，坚持以“公开为常态、不公开为例外”的原则，全面推进决策、执行、管理、服务、结果“五公开”，完善制度规范，拓宽公开渠道，深化信息公开，加快政务服务体系建设，着力提升公开质量，强化监督保障，不断推进政府信息公开工作。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5" w:lineRule="atLeast"/>
        <w:ind w:right="0" w:rightChars="0"/>
        <w:jc w:val="both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  <w:t>　　（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</w:rPr>
        <w:t>主动公开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val="en-US" w:eastAsia="zh-CN"/>
        </w:rPr>
        <w:t>情况。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我局立足全市人力资源和社会保障工作，紧密围绕信息公开工作重点，切实加强组织领导，采取有效措施，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及时通过政务公开平台发布广大群众关注度较高的就业创业政策、补贴申领、用工求职信息、社会保险情况、劳动维权等内容，做到应公开、尽公开。全年共主动公开政府信息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3189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条，其中：政府网站公开政府信息数1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371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条，政务微信公开政府信息数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965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条。“12333”咨询服务热线共接听电话总量61925个，其中人工接听量26383个，自动语音服务量30866个；“铜川人社”云客服人工会话量7172条，回复留言3103条，机器人有效会话量达5.12万。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5" w:lineRule="atLeast"/>
        <w:ind w:right="0" w:rightChars="0"/>
        <w:jc w:val="center"/>
      </w:pPr>
      <w:r>
        <w:drawing>
          <wp:inline distT="0" distB="0" distL="114300" distR="114300">
            <wp:extent cx="4972050" cy="3362325"/>
            <wp:effectExtent l="4445" t="4445" r="14605" b="508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5" w:lineRule="atLeast"/>
        <w:ind w:right="0" w:rightChars="0"/>
        <w:jc w:val="center"/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5" w:lineRule="atLeast"/>
        <w:ind w:right="0" w:rightChars="0"/>
        <w:jc w:val="center"/>
      </w:pPr>
      <w:r>
        <w:drawing>
          <wp:inline distT="0" distB="0" distL="114300" distR="114300">
            <wp:extent cx="5000625" cy="3200400"/>
            <wp:effectExtent l="4445" t="4445" r="5080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5" w:lineRule="atLeast"/>
        <w:ind w:right="0" w:rightChars="0"/>
        <w:jc w:val="center"/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5" w:lineRule="atLeast"/>
        <w:ind w:right="0" w:rightChars="0"/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4895215" cy="3028315"/>
            <wp:effectExtent l="4445" t="4445" r="15240" b="1524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5" w:lineRule="atLeast"/>
        <w:ind w:right="0" w:rightChars="0"/>
        <w:jc w:val="both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5" w:lineRule="atLeast"/>
        <w:ind w:right="0" w:rightChars="0"/>
        <w:jc w:val="both"/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</w:rPr>
      </w:pP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  <w:t>　　（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</w:rPr>
        <w:t>依申请公开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</w:rPr>
        <w:t>20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</w:rPr>
        <w:t>年度我局未收到依申请公开事项。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5" w:lineRule="atLeast"/>
        <w:ind w:right="0" w:rightChars="0" w:firstLine="640"/>
        <w:jc w:val="both"/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</w:rPr>
      </w:pP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</w:rPr>
        <w:t>政府信息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val="en-US" w:eastAsia="zh-CN"/>
        </w:rPr>
        <w:t>公开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</w:rPr>
        <w:t>管理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</w:rPr>
        <w:t>充分发挥局门户网站主阵地作用，以群众视角对网站内容进行多维度重新组合，信息发布模式由“你给我看什么我只能看什么”转变为“我想看什么就能看到什么”。设置智能搜索和热词搜索功能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</w:rPr>
        <w:t>一站式获取相关的工作动态、政策法规、经办指南、常见问题以及热门服务。加强渠道建设，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val="en-US" w:eastAsia="zh-CN"/>
        </w:rPr>
        <w:t>上线“铜川人社”微信小程序，同时利用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</w:rPr>
        <w:t>微信公众号、头条号，传播人社声音，广泛搜集民意。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5" w:lineRule="atLeast"/>
        <w:ind w:right="0" w:rightChars="0" w:firstLine="640"/>
        <w:jc w:val="both"/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</w:rPr>
        <w:t>平台建设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  <w:t>。不断优化人社一体化公共服务平台，充分利用数据共享机制，推出“两免一串不见面”服务措施。认真落实部、省人社服务快办行动部署，在积极对接全省“打包办”平台基础上，扎实开展我市特色的打包办应用场景梳理。持续推进“减证便民”，优化办事表格填写，引入电子签章服务，减少群众填表负担。深入推进人社服务进银行，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val="en-US" w:eastAsia="zh-CN"/>
        </w:rPr>
        <w:t>借助银行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  <w:t>营业网点的智慧柜员机，对社保权益记录查询、求职招聘信息、社保待遇资格认证等高频人社服务打包提供，不断提高人社服务可及度。通过“铜川人社”云客服平台，利用“互联网+”、人工智能知识库+人工客服和数据云技术，向服务对象提供24小时不打烊的人社政策咨询服务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5" w:lineRule="atLeast"/>
        <w:ind w:right="0" w:rightChars="0" w:firstLine="64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</w:rPr>
        <w:t>人大代表建议、政协提案办理结果公开情况</w:t>
      </w:r>
      <w:r>
        <w:rPr>
          <w:rFonts w:hint="eastAsia" w:ascii="仿宋_GB2312" w:eastAsia="仿宋_GB2312" w:cs="仿宋_GB2312"/>
          <w:snapToGrid w:val="0"/>
          <w:color w:val="auto"/>
          <w:kern w:val="3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办理人大代表建议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件，政协提案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件，均已全部按期办结，办理结果在市政府门户网站予以公开。复函格式规范率、走访率、《征求意见稿》回收率均为100%。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5" w:lineRule="atLeast"/>
        <w:ind w:right="0" w:rightChars="0" w:firstLine="64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5" w:lineRule="atLeast"/>
        <w:ind w:right="0" w:rightChars="0"/>
        <w:jc w:val="center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drawing>
          <wp:inline distT="0" distB="0" distL="114300" distR="114300">
            <wp:extent cx="5133340" cy="3486150"/>
            <wp:effectExtent l="4445" t="4445" r="5715" b="1460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25" w:lineRule="atLeast"/>
        <w:ind w:right="0" w:rightChars="0" w:firstLine="64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-7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98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5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672.17万元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　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8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592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　　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　　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left" w:pos="217"/>
              </w:tabs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ab/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当前我局政府信息公开工作存在的主要问题：信息公开平台建设还不能很好适应工作要求，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网站</w:t>
      </w:r>
      <w:r>
        <w:rPr>
          <w:rFonts w:hint="eastAsia" w:ascii="仿宋" w:hAnsi="仿宋" w:eastAsia="仿宋" w:cs="仿宋"/>
          <w:sz w:val="32"/>
          <w:szCs w:val="32"/>
        </w:rPr>
        <w:t>政策发布和政策解读同步性还不够，政策解读比较滞后。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下一步，我局将认真对标中省市有关政府信息公开的相关要求，扎实做好信息公开各项工作，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加大公开力度，扩大信息公开范围，</w:t>
      </w:r>
      <w:r>
        <w:rPr>
          <w:rFonts w:hint="eastAsia" w:ascii="仿宋" w:hAnsi="仿宋" w:eastAsia="仿宋" w:cs="仿宋"/>
          <w:sz w:val="32"/>
          <w:szCs w:val="32"/>
        </w:rPr>
        <w:t>及时开展政策解读，积极反馈民意诉求，不断优化完善公开渠道及内容，进一步提高行政效能。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sz w:val="32"/>
          <w:szCs w:val="32"/>
        </w:rPr>
        <w:t>铜川市人力资源和社会保障局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6435C"/>
    <w:rsid w:val="000D1228"/>
    <w:rsid w:val="003A6FC8"/>
    <w:rsid w:val="009823B1"/>
    <w:rsid w:val="013C409D"/>
    <w:rsid w:val="01434517"/>
    <w:rsid w:val="01650F88"/>
    <w:rsid w:val="01F36AC2"/>
    <w:rsid w:val="03600970"/>
    <w:rsid w:val="043B7750"/>
    <w:rsid w:val="06A42A7D"/>
    <w:rsid w:val="07CF60AB"/>
    <w:rsid w:val="07EE2348"/>
    <w:rsid w:val="0866408D"/>
    <w:rsid w:val="08B27B5C"/>
    <w:rsid w:val="094E1189"/>
    <w:rsid w:val="0988717C"/>
    <w:rsid w:val="099963E8"/>
    <w:rsid w:val="09C77C4A"/>
    <w:rsid w:val="0B6F7198"/>
    <w:rsid w:val="0BC46027"/>
    <w:rsid w:val="0DAC1D43"/>
    <w:rsid w:val="0E1A5A1A"/>
    <w:rsid w:val="0FB26A81"/>
    <w:rsid w:val="104803A4"/>
    <w:rsid w:val="10930603"/>
    <w:rsid w:val="11DB7623"/>
    <w:rsid w:val="12300A86"/>
    <w:rsid w:val="12786508"/>
    <w:rsid w:val="12932516"/>
    <w:rsid w:val="12E554C4"/>
    <w:rsid w:val="13B854DA"/>
    <w:rsid w:val="14316F83"/>
    <w:rsid w:val="14EA158E"/>
    <w:rsid w:val="151C226A"/>
    <w:rsid w:val="16E21EED"/>
    <w:rsid w:val="18536ACF"/>
    <w:rsid w:val="188E7187"/>
    <w:rsid w:val="1A603465"/>
    <w:rsid w:val="1B583A59"/>
    <w:rsid w:val="1C414B25"/>
    <w:rsid w:val="1D1A1260"/>
    <w:rsid w:val="1D7E00F5"/>
    <w:rsid w:val="1E605C33"/>
    <w:rsid w:val="1EB81354"/>
    <w:rsid w:val="1F061202"/>
    <w:rsid w:val="1FF857DB"/>
    <w:rsid w:val="2064702C"/>
    <w:rsid w:val="21EF1BD6"/>
    <w:rsid w:val="21F7008C"/>
    <w:rsid w:val="22B22AAA"/>
    <w:rsid w:val="237C31D3"/>
    <w:rsid w:val="23C20580"/>
    <w:rsid w:val="240F6B3F"/>
    <w:rsid w:val="24234618"/>
    <w:rsid w:val="24E27C02"/>
    <w:rsid w:val="24F14106"/>
    <w:rsid w:val="26260CC1"/>
    <w:rsid w:val="27A7724B"/>
    <w:rsid w:val="285C4F82"/>
    <w:rsid w:val="28846BF4"/>
    <w:rsid w:val="28851A26"/>
    <w:rsid w:val="288B5182"/>
    <w:rsid w:val="29390E24"/>
    <w:rsid w:val="29A21707"/>
    <w:rsid w:val="2A4A2216"/>
    <w:rsid w:val="2B1B3501"/>
    <w:rsid w:val="2B42230C"/>
    <w:rsid w:val="2B450ECA"/>
    <w:rsid w:val="2BAD670B"/>
    <w:rsid w:val="2BC23871"/>
    <w:rsid w:val="2C231B9D"/>
    <w:rsid w:val="2C706DA9"/>
    <w:rsid w:val="2E96435C"/>
    <w:rsid w:val="2FB61009"/>
    <w:rsid w:val="30AC3D2F"/>
    <w:rsid w:val="3190249E"/>
    <w:rsid w:val="32696090"/>
    <w:rsid w:val="32786225"/>
    <w:rsid w:val="32CA2855"/>
    <w:rsid w:val="32EC41C0"/>
    <w:rsid w:val="332F6078"/>
    <w:rsid w:val="33400E34"/>
    <w:rsid w:val="34292CCA"/>
    <w:rsid w:val="35D9186D"/>
    <w:rsid w:val="36640FC8"/>
    <w:rsid w:val="36661039"/>
    <w:rsid w:val="37E30FF1"/>
    <w:rsid w:val="385919F6"/>
    <w:rsid w:val="397C5A77"/>
    <w:rsid w:val="39F7554F"/>
    <w:rsid w:val="3B9A6FA1"/>
    <w:rsid w:val="3C7E39B8"/>
    <w:rsid w:val="3D076C70"/>
    <w:rsid w:val="3E891425"/>
    <w:rsid w:val="404E1F8C"/>
    <w:rsid w:val="408F41BB"/>
    <w:rsid w:val="41395E63"/>
    <w:rsid w:val="41774E8A"/>
    <w:rsid w:val="420D5218"/>
    <w:rsid w:val="42C45DE3"/>
    <w:rsid w:val="42F33406"/>
    <w:rsid w:val="439B6C75"/>
    <w:rsid w:val="43E22860"/>
    <w:rsid w:val="44301898"/>
    <w:rsid w:val="446565E0"/>
    <w:rsid w:val="447D0277"/>
    <w:rsid w:val="44C91934"/>
    <w:rsid w:val="45990FB4"/>
    <w:rsid w:val="45C669BD"/>
    <w:rsid w:val="473451B3"/>
    <w:rsid w:val="478D005A"/>
    <w:rsid w:val="47B35156"/>
    <w:rsid w:val="47B40B2F"/>
    <w:rsid w:val="489A5637"/>
    <w:rsid w:val="48F2154A"/>
    <w:rsid w:val="492655BE"/>
    <w:rsid w:val="498C41B8"/>
    <w:rsid w:val="49A338B5"/>
    <w:rsid w:val="4A2B4F3E"/>
    <w:rsid w:val="4A6D04D1"/>
    <w:rsid w:val="4AB92D07"/>
    <w:rsid w:val="4ADF5163"/>
    <w:rsid w:val="4C025565"/>
    <w:rsid w:val="4D267AAB"/>
    <w:rsid w:val="4D375484"/>
    <w:rsid w:val="4DD87137"/>
    <w:rsid w:val="4E61282E"/>
    <w:rsid w:val="4E9F73C3"/>
    <w:rsid w:val="4EB255BA"/>
    <w:rsid w:val="4F9130B4"/>
    <w:rsid w:val="502E75E8"/>
    <w:rsid w:val="506071DA"/>
    <w:rsid w:val="52A25CBC"/>
    <w:rsid w:val="52CB0A08"/>
    <w:rsid w:val="54AB1E3D"/>
    <w:rsid w:val="54C52D5C"/>
    <w:rsid w:val="54FA5F0F"/>
    <w:rsid w:val="569978D7"/>
    <w:rsid w:val="574E3296"/>
    <w:rsid w:val="577F0749"/>
    <w:rsid w:val="57E96AB2"/>
    <w:rsid w:val="593653B0"/>
    <w:rsid w:val="5A351616"/>
    <w:rsid w:val="5A842281"/>
    <w:rsid w:val="5AA41CDB"/>
    <w:rsid w:val="5B045038"/>
    <w:rsid w:val="5C4A387A"/>
    <w:rsid w:val="5C726208"/>
    <w:rsid w:val="5C9A0E89"/>
    <w:rsid w:val="5CA12A96"/>
    <w:rsid w:val="5CBE4D8D"/>
    <w:rsid w:val="5CD421DB"/>
    <w:rsid w:val="5D0F0090"/>
    <w:rsid w:val="5D3F5FCB"/>
    <w:rsid w:val="5D54217F"/>
    <w:rsid w:val="5EBB2ECC"/>
    <w:rsid w:val="5F883688"/>
    <w:rsid w:val="60516177"/>
    <w:rsid w:val="60591ABD"/>
    <w:rsid w:val="60865080"/>
    <w:rsid w:val="612A57A8"/>
    <w:rsid w:val="61831549"/>
    <w:rsid w:val="62C130EE"/>
    <w:rsid w:val="62E43540"/>
    <w:rsid w:val="62F70D60"/>
    <w:rsid w:val="63BD40E9"/>
    <w:rsid w:val="648A7828"/>
    <w:rsid w:val="65E86C40"/>
    <w:rsid w:val="686C7E1C"/>
    <w:rsid w:val="688E1E5E"/>
    <w:rsid w:val="689918D4"/>
    <w:rsid w:val="695B397A"/>
    <w:rsid w:val="699E39F6"/>
    <w:rsid w:val="6A854227"/>
    <w:rsid w:val="6AA04CB1"/>
    <w:rsid w:val="6AAA7C62"/>
    <w:rsid w:val="6AFD4EF0"/>
    <w:rsid w:val="6BD81510"/>
    <w:rsid w:val="6C891270"/>
    <w:rsid w:val="6CB56DAC"/>
    <w:rsid w:val="6D544286"/>
    <w:rsid w:val="6DB82E9A"/>
    <w:rsid w:val="6E041549"/>
    <w:rsid w:val="6E636A93"/>
    <w:rsid w:val="6FE251F9"/>
    <w:rsid w:val="70172B8B"/>
    <w:rsid w:val="70265606"/>
    <w:rsid w:val="7161699D"/>
    <w:rsid w:val="718006F0"/>
    <w:rsid w:val="71C57085"/>
    <w:rsid w:val="73495B3C"/>
    <w:rsid w:val="73647929"/>
    <w:rsid w:val="75621E7A"/>
    <w:rsid w:val="75AF5185"/>
    <w:rsid w:val="76DF268F"/>
    <w:rsid w:val="771F45DE"/>
    <w:rsid w:val="773144CB"/>
    <w:rsid w:val="77926B39"/>
    <w:rsid w:val="79425959"/>
    <w:rsid w:val="79EB36AB"/>
    <w:rsid w:val="7A1A54AA"/>
    <w:rsid w:val="7B1B486A"/>
    <w:rsid w:val="7CB431D4"/>
    <w:rsid w:val="7CC43861"/>
    <w:rsid w:val="7DA449E0"/>
    <w:rsid w:val="7E206FC1"/>
    <w:rsid w:val="7EA82B4F"/>
    <w:rsid w:val="7ED84C4C"/>
    <w:rsid w:val="7EDE23B5"/>
    <w:rsid w:val="7F18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F3F3F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F3F3F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1"/>
      <w:szCs w:val="21"/>
    </w:rPr>
  </w:style>
  <w:style w:type="character" w:styleId="14">
    <w:name w:val="HTML Cite"/>
    <w:basedOn w:val="6"/>
    <w:qFormat/>
    <w:uiPriority w:val="0"/>
  </w:style>
  <w:style w:type="character" w:customStyle="1" w:styleId="15">
    <w:name w:val="time"/>
    <w:basedOn w:val="6"/>
    <w:qFormat/>
    <w:uiPriority w:val="0"/>
  </w:style>
  <w:style w:type="character" w:customStyle="1" w:styleId="16">
    <w:name w:val="jxz"/>
    <w:basedOn w:val="6"/>
    <w:qFormat/>
    <w:uiPriority w:val="0"/>
    <w:rPr>
      <w:color w:val="FF5400"/>
    </w:rPr>
  </w:style>
  <w:style w:type="character" w:customStyle="1" w:styleId="17">
    <w:name w:val="jxz1"/>
    <w:basedOn w:val="6"/>
    <w:qFormat/>
    <w:uiPriority w:val="0"/>
    <w:rPr>
      <w:color w:val="FF5400"/>
    </w:rPr>
  </w:style>
  <w:style w:type="character" w:customStyle="1" w:styleId="18">
    <w:name w:val="yjs"/>
    <w:basedOn w:val="6"/>
    <w:qFormat/>
    <w:uiPriority w:val="0"/>
    <w:rPr>
      <w:color w:val="14A900"/>
    </w:rPr>
  </w:style>
  <w:style w:type="character" w:customStyle="1" w:styleId="19">
    <w:name w:val="yjs1"/>
    <w:basedOn w:val="6"/>
    <w:qFormat/>
    <w:uiPriority w:val="0"/>
    <w:rPr>
      <w:color w:val="14A900"/>
    </w:rPr>
  </w:style>
  <w:style w:type="character" w:customStyle="1" w:styleId="20">
    <w:name w:val="titles"/>
    <w:basedOn w:val="6"/>
    <w:qFormat/>
    <w:uiPriority w:val="0"/>
    <w:rPr>
      <w:b/>
      <w:color w:val="FFFFFF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&#24037;&#20316;&#31807;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600" b="1">
                <a:solidFill>
                  <a:schemeClr val="accent1">
                    <a:lumMod val="75000"/>
                  </a:schemeClr>
                </a:solidFill>
              </a:rPr>
              <a:t>2020</a:t>
            </a:r>
            <a:r>
              <a:rPr altLang="en-US" sz="1600" b="1">
                <a:solidFill>
                  <a:schemeClr val="accent1">
                    <a:lumMod val="75000"/>
                  </a:schemeClr>
                </a:solidFill>
              </a:rPr>
              <a:t>年主动公开政府信息情况</a:t>
            </a:r>
            <a:endParaRPr lang="en-US" altLang="en-US" sz="1600" b="1">
              <a:solidFill>
                <a:schemeClr val="accent1">
                  <a:lumMod val="75000"/>
                </a:schemeClr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[工作簿1]Sheet1!$C$4:$C$7</c:f>
              <c:strCache>
                <c:ptCount val="4"/>
                <c:pt idx="0">
                  <c:v>市人社局网站</c:v>
                </c:pt>
                <c:pt idx="1">
                  <c:v>“铜川人社”微信公众号</c:v>
                </c:pt>
                <c:pt idx="2">
                  <c:v>“铜川人社”今日头条号</c:v>
                </c:pt>
                <c:pt idx="3">
                  <c:v>其他渠道</c:v>
                </c:pt>
              </c:strCache>
            </c:strRef>
          </c:cat>
          <c:val>
            <c:numRef>
              <c:f>[工作簿1]Sheet1!$D$4:$D$7</c:f>
              <c:numCache>
                <c:formatCode>0.00%</c:formatCode>
                <c:ptCount val="4"/>
                <c:pt idx="0">
                  <c:v>0.429915333960489</c:v>
                </c:pt>
                <c:pt idx="1">
                  <c:v>0.302602696770147</c:v>
                </c:pt>
                <c:pt idx="2">
                  <c:v>0.228284728755096</c:v>
                </c:pt>
                <c:pt idx="3">
                  <c:v>0.0391972405142678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600" b="1">
                <a:solidFill>
                  <a:schemeClr val="accent1">
                    <a:lumMod val="75000"/>
                  </a:schemeClr>
                </a:solidFill>
              </a:rPr>
              <a:t>12333</a:t>
            </a:r>
            <a:r>
              <a:rPr altLang="en-US" sz="1600" b="1">
                <a:solidFill>
                  <a:schemeClr val="accent1">
                    <a:lumMod val="75000"/>
                  </a:schemeClr>
                </a:solidFill>
              </a:rPr>
              <a:t>人社咨询服务热线接听情况</a:t>
            </a:r>
            <a:endParaRPr lang="en-US" altLang="en-US" sz="1600" b="1">
              <a:solidFill>
                <a:schemeClr val="accent1">
                  <a:lumMod val="75000"/>
                </a:schemeClr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[工作簿1]Sheet2!$C$7:$C$10</c:f>
              <c:strCache>
                <c:ptCount val="4"/>
                <c:pt idx="0">
                  <c:v>电话总量</c:v>
                </c:pt>
                <c:pt idx="1">
                  <c:v>人工接听量</c:v>
                </c:pt>
                <c:pt idx="2">
                  <c:v>自助语音量</c:v>
                </c:pt>
                <c:pt idx="3">
                  <c:v>放弃量</c:v>
                </c:pt>
              </c:strCache>
            </c:strRef>
          </c:cat>
          <c:val>
            <c:numRef>
              <c:f>[工作簿1]Sheet2!$D$7:$D$10</c:f>
              <c:numCache>
                <c:formatCode>General</c:formatCode>
                <c:ptCount val="4"/>
                <c:pt idx="0">
                  <c:v>61925</c:v>
                </c:pt>
                <c:pt idx="1">
                  <c:v>26383</c:v>
                </c:pt>
                <c:pt idx="2">
                  <c:v>30866</c:v>
                </c:pt>
                <c:pt idx="3">
                  <c:v>4676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4375757"/>
        <c:axId val="701219589"/>
      </c:barChart>
      <c:catAx>
        <c:axId val="48437575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1219589"/>
        <c:crosses val="autoZero"/>
        <c:auto val="1"/>
        <c:lblAlgn val="ctr"/>
        <c:lblOffset val="100"/>
        <c:noMultiLvlLbl val="0"/>
      </c:catAx>
      <c:valAx>
        <c:axId val="70121958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7575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600" b="1">
                <a:solidFill>
                  <a:schemeClr val="accent1">
                    <a:lumMod val="75000"/>
                  </a:schemeClr>
                </a:solidFill>
              </a:rPr>
              <a:t>铜川人社云客服咨询服务情况</a:t>
            </a:r>
            <a:endParaRPr sz="1600" b="1">
              <a:solidFill>
                <a:schemeClr val="accent1">
                  <a:lumMod val="75000"/>
                </a:schemeClr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[工作簿1]Sheet3!$B$4:$B$7</c:f>
              <c:strCache>
                <c:ptCount val="4"/>
                <c:pt idx="0">
                  <c:v>总会话量</c:v>
                </c:pt>
                <c:pt idx="1">
                  <c:v>人工会话量</c:v>
                </c:pt>
                <c:pt idx="2">
                  <c:v>机器人会话量</c:v>
                </c:pt>
                <c:pt idx="3">
                  <c:v>留言量</c:v>
                </c:pt>
              </c:strCache>
            </c:strRef>
          </c:cat>
          <c:val>
            <c:numRef>
              <c:f>[工作簿1]Sheet3!$C$4:$C$7</c:f>
              <c:numCache>
                <c:formatCode>General</c:formatCode>
                <c:ptCount val="4"/>
                <c:pt idx="0">
                  <c:v>61475</c:v>
                </c:pt>
                <c:pt idx="1">
                  <c:v>7172</c:v>
                </c:pt>
                <c:pt idx="2">
                  <c:v>51200</c:v>
                </c:pt>
                <c:pt idx="3">
                  <c:v>3103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96368170"/>
        <c:axId val="949992919"/>
      </c:barChart>
      <c:catAx>
        <c:axId val="59636817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9992919"/>
        <c:crosses val="autoZero"/>
        <c:auto val="1"/>
        <c:lblAlgn val="ctr"/>
        <c:lblOffset val="100"/>
        <c:noMultiLvlLbl val="0"/>
      </c:catAx>
      <c:valAx>
        <c:axId val="949992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636817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600" b="1">
                <a:solidFill>
                  <a:schemeClr val="accent1">
                    <a:lumMod val="75000"/>
                  </a:schemeClr>
                </a:solidFill>
              </a:rPr>
              <a:t>历年人大建议政协提案办理情况</a:t>
            </a:r>
            <a:endParaRPr sz="1600" b="1">
              <a:solidFill>
                <a:schemeClr val="accent1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222777777777778"/>
          <c:y val="0.024305555555555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[工作簿1]Sheet4!$E$7</c:f>
              <c:strCache>
                <c:ptCount val="1"/>
                <c:pt idx="0">
                  <c:v>政协提案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[工作簿1]Sheet4!$D$8:$D$11</c:f>
              <c:strCache>
                <c:ptCount val="4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</c:strCache>
            </c:strRef>
          </c:cat>
          <c:val>
            <c:numRef>
              <c:f>[工作簿1]Sheet4!$E$8:$E$11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[工作簿1]Sheet4!$F$7</c:f>
              <c:strCache>
                <c:ptCount val="1"/>
                <c:pt idx="0">
                  <c:v>人大建议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[工作簿1]Sheet4!$D$8:$D$11</c:f>
              <c:strCache>
                <c:ptCount val="4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</c:strCache>
            </c:strRef>
          </c:cat>
          <c:val>
            <c:numRef>
              <c:f>[工作簿1]Sheet4!$F$8:$F$11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[工作簿1]Sheet4!$G$7</c:f>
              <c:strCache>
                <c:ptCount val="1"/>
                <c:pt idx="0">
                  <c:v>总量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[工作簿1]Sheet4!$D$8:$D$11</c:f>
              <c:strCache>
                <c:ptCount val="4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</c:strCache>
            </c:strRef>
          </c:cat>
          <c:val>
            <c:numRef>
              <c:f>[工作簿1]Sheet4!$G$8:$G$11</c:f>
              <c:numCache>
                <c:formatCode>General</c:formatCode>
                <c:ptCount val="4"/>
                <c:pt idx="0">
                  <c:v>14</c:v>
                </c:pt>
                <c:pt idx="1">
                  <c:v>5</c:v>
                </c:pt>
                <c:pt idx="2">
                  <c:v>11</c:v>
                </c:pt>
                <c:pt idx="3">
                  <c:v>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777978223"/>
        <c:axId val="799198943"/>
      </c:lineChart>
      <c:catAx>
        <c:axId val="777978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9198943"/>
        <c:crosses val="autoZero"/>
        <c:auto val="1"/>
        <c:lblAlgn val="ctr"/>
        <c:lblOffset val="100"/>
        <c:noMultiLvlLbl val="0"/>
      </c:catAx>
      <c:valAx>
        <c:axId val="7991989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79782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2021-01-15T05:29:00Z</dcterms:created>
  <dc:creator>随风</dc:creator>
  <cp:lastModifiedBy>T</cp:lastModifiedBy>
  <cp:lastPrinted>2021-01-18T05:28:00Z</cp:lastPrinted>
  <dcterms:modified xsi:type="dcterms:W3CDTF">2021-02-26T02:50:16Z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