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/>
        <w:rPr>
          <w:rFonts w:hint="eastAsia" w:hAnsi="仿宋_GB2312"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 w:hAnsi="仿宋_GB2312"/>
          <w:sz w:val="32"/>
          <w:szCs w:val="32"/>
          <w:lang w:val="en-US" w:eastAsia="zh-CN"/>
        </w:rPr>
        <w:t>2020</w:t>
      </w:r>
      <w:r>
        <w:rPr>
          <w:rFonts w:hint="eastAsia" w:hAnsi="仿宋_GB2312"/>
          <w:sz w:val="32"/>
          <w:szCs w:val="32"/>
        </w:rPr>
        <w:t>年，铜川市住房公积金管理中心</w:t>
      </w:r>
      <w:r>
        <w:rPr>
          <w:rFonts w:hint="eastAsia" w:hAnsi="仿宋_GB2312"/>
          <w:sz w:val="32"/>
          <w:szCs w:val="32"/>
          <w:lang w:eastAsia="zh-CN"/>
        </w:rPr>
        <w:t>坚持以习近平新时代中国特色社会主义思想为指导，深入学习贯彻党的十九大和十九届二中、三中、四中、五中全会精神，</w:t>
      </w:r>
      <w:r>
        <w:rPr>
          <w:rFonts w:hint="eastAsia" w:hAnsi="仿宋_GB2312"/>
          <w:sz w:val="32"/>
          <w:szCs w:val="32"/>
        </w:rPr>
        <w:t>在市委、市政府的正确领导下，认真贯彻落实《中华人民共和国政府信息公开条例》和《铜川市政府信息公开规定》及有关政府信息公开工作的文件要求，较好完成了政府信息公开各项工作任务，</w:t>
      </w:r>
      <w:r>
        <w:rPr>
          <w:rFonts w:hint="eastAsia" w:hAnsi="仿宋_GB2312"/>
          <w:sz w:val="32"/>
          <w:szCs w:val="32"/>
          <w:lang w:eastAsia="zh-CN"/>
        </w:rPr>
        <w:t>不断推进政府信息公开工作</w:t>
      </w:r>
      <w:r>
        <w:rPr>
          <w:rFonts w:hint="eastAsia" w:hAnsi="仿宋_GB2312"/>
          <w:sz w:val="32"/>
          <w:szCs w:val="32"/>
        </w:rPr>
        <w:t>。现将</w:t>
      </w:r>
      <w:r>
        <w:rPr>
          <w:rFonts w:hint="eastAsia" w:hAnsi="仿宋_GB2312"/>
          <w:sz w:val="32"/>
          <w:szCs w:val="32"/>
          <w:lang w:val="en-US" w:eastAsia="zh-CN"/>
        </w:rPr>
        <w:t>2020</w:t>
      </w:r>
      <w:r>
        <w:rPr>
          <w:rFonts w:hint="eastAsia" w:hAnsi="仿宋_GB2312"/>
          <w:sz w:val="32"/>
          <w:szCs w:val="32"/>
        </w:rPr>
        <w:t xml:space="preserve">年度市公积金中心政府信息公开工作开展情况报告如下： </w:t>
      </w:r>
    </w:p>
    <w:p>
      <w:pPr>
        <w:tabs>
          <w:tab w:val="left" w:pos="7791"/>
        </w:tabs>
        <w:ind w:firstLine="660" w:firstLineChars="202"/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Cs w:val="32"/>
        </w:rPr>
        <w:t>一、</w:t>
      </w:r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总体情况</w:t>
      </w:r>
    </w:p>
    <w:p>
      <w:pPr>
        <w:autoSpaceDE w:val="0"/>
        <w:autoSpaceDN w:val="0"/>
        <w:ind w:firstLine="654" w:firstLineChars="200"/>
        <w:jc w:val="left"/>
        <w:rPr>
          <w:rFonts w:hint="eastAsia" w:ascii="楷体_GB2312" w:hAnsi="楷体_GB2312" w:eastAsia="楷体_GB2312" w:cs="楷体_GB2312"/>
          <w:snapToGrid w:val="0"/>
          <w:kern w:val="32"/>
          <w:szCs w:val="32"/>
          <w:lang w:val="zh-CN"/>
        </w:rPr>
      </w:pPr>
      <w:bookmarkStart w:id="0" w:name="bookmark28"/>
      <w:r>
        <w:rPr>
          <w:rFonts w:hint="eastAsia" w:ascii="楷体_GB2312" w:hAnsi="楷体_GB2312" w:eastAsia="楷体_GB2312" w:cs="楷体_GB2312"/>
          <w:snapToGrid w:val="0"/>
          <w:kern w:val="32"/>
          <w:szCs w:val="32"/>
          <w:lang w:val="zh-CN"/>
        </w:rPr>
        <w:t>（一）加强组织领导，强化制度建设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>中心认真落实市政府《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2020年政务公开工作绩效评估指标的通知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》（铜政办函〔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2020〕38号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）文件要求，围绕中心发展和群众关注关切，加强信息管理，规范依申请公开，提升平台管建。健全“中心主要领导亲自抓，分管领导具体抓，职能科室抓落实”的工作机制，加强队伍建设，明确工作责任，加大工作督促和责任追究。印发了《</w:t>
      </w:r>
      <w:r>
        <w:rPr>
          <w:rFonts w:hint="eastAsia" w:ascii="仿宋_GB2312" w:cs="仿宋_GB2312"/>
          <w:snapToGrid w:val="0"/>
          <w:kern w:val="32"/>
          <w:szCs w:val="32"/>
          <w:lang w:val="zh-CN" w:eastAsia="zh-CN"/>
        </w:rPr>
        <w:t>关于进一步加强信息工作的通知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》等相关文件，全面推进决策、执行、管理、服务、结果“五公开”，对政府信息公开的内容按照要求统一归档、保存备查，实现政府信息公开工作的制度化和规范化。</w:t>
      </w:r>
    </w:p>
    <w:p>
      <w:pPr>
        <w:autoSpaceDE w:val="0"/>
        <w:autoSpaceDN w:val="0"/>
        <w:ind w:firstLine="654" w:firstLineChars="200"/>
        <w:rPr>
          <w:rFonts w:hint="eastAsia" w:ascii="楷体_GB2312" w:hAnsi="楷体_GB2312" w:eastAsia="楷体_GB2312" w:cs="楷体_GB2312"/>
          <w:snapToGrid w:val="0"/>
          <w:kern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Cs w:val="32"/>
          <w:lang w:val="zh-CN"/>
        </w:rPr>
        <w:t>（二）围绕重点工作，强化政策解读</w:t>
      </w:r>
    </w:p>
    <w:p>
      <w:pPr>
        <w:autoSpaceDE w:val="0"/>
        <w:autoSpaceDN w:val="0"/>
        <w:ind w:firstLine="654" w:firstLineChars="200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>市公积金中心通过市政府网站、中心网站主动公开机构职能、联系方式等机构基本信息；财政预决算、“三公”经费等财政类信息及政策法规业务类信息等。及时公开住房公积金政务信息工作动态，自觉接受监督，向社会全方位通报上年度住房公积金运行情况。常态化解读公积金业务政策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27期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 xml:space="preserve">，发布政策图解，形象化解读政策，力求一张图读懂一个政策。  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Cs w:val="32"/>
          <w:lang w:val="zh-CN"/>
        </w:rPr>
        <w:t>（三）拓宽公开渠道，增强政民互动　　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 xml:space="preserve"> 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>中心从实际出发、求真务实，以“群众看得到、看得清、看得懂”为基本原则，采取多渠道、多方式，向社会广泛公开信息。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>1.通过部门网站进行公开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>为了方便广大职工了解住房公积金工作动态等相关信息，不断加强网站建设管理工作，参与全市网站集约化建设，提升网站信息内容质量，积极发挥政府网站信息公开第一平台作用。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2020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年部门网站发布信息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235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条，工作动态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193条，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政务信息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147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条。对群众关注的住房公积金提取、贷款政策进行重点公开。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2020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年度公开归集、提取、贷款信息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23条，楼盘信息27条，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网上大厅注册用户数</w:t>
      </w:r>
      <w:r>
        <w:rPr>
          <w:rFonts w:hint="eastAsia" w:ascii="仿宋_GB2312" w:cs="仿宋_GB2312"/>
          <w:snapToGrid w:val="0"/>
          <w:kern w:val="32"/>
          <w:szCs w:val="32"/>
          <w:highlight w:val="none"/>
          <w:lang w:val="en-US" w:eastAsia="zh-CN"/>
        </w:rPr>
        <w:t>16154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户，线上办理归集、提取等各类政务服务事项</w:t>
      </w:r>
      <w:r>
        <w:rPr>
          <w:rFonts w:hint="eastAsia" w:ascii="仿宋_GB2312" w:cs="仿宋_GB2312"/>
          <w:snapToGrid w:val="0"/>
          <w:kern w:val="32"/>
          <w:szCs w:val="32"/>
        </w:rPr>
        <w:t>34340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件。咨询投诉栏目中，对网民提出的住房公积金政策方面的咨询和提问，做到有帖必回、及时公开。用心用情办理网民留言，办结主任信箱答复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101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件。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cs="仿宋_GB2312"/>
          <w:snapToGrid w:val="0"/>
          <w:kern w:val="32"/>
          <w:szCs w:val="32"/>
          <w:lang w:val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 xml:space="preserve">2.通过业务窗口和服务热线进行公开 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cs="仿宋_GB2312"/>
          <w:snapToGrid w:val="0"/>
          <w:kern w:val="32"/>
          <w:szCs w:val="32"/>
          <w:lang w:val="zh-CN"/>
        </w:rPr>
        <w:t>中心为了方便广大缴存职工了解公积金各项业务，为各管理部统一制作了公积金缴存、提取、贷款等业务的宣传展板、彩页；通过</w:t>
      </w:r>
      <w:r>
        <w:rPr>
          <w:rFonts w:hint="eastAsia" w:ascii="仿宋_GB2312" w:cs="仿宋_GB2312"/>
          <w:snapToGrid w:val="0"/>
          <w:kern w:val="32"/>
          <w:szCs w:val="32"/>
          <w:lang w:val="en-US" w:eastAsia="zh-CN"/>
        </w:rPr>
        <w:t>LED显示屏滚动播出公积金相关政策及业务办理流程；</w:t>
      </w:r>
      <w:r>
        <w:rPr>
          <w:rFonts w:hint="eastAsia" w:ascii="仿宋_GB2312" w:cs="仿宋_GB2312"/>
          <w:snapToGrid w:val="0"/>
          <w:kern w:val="32"/>
          <w:szCs w:val="32"/>
          <w:lang w:val="zh-CN"/>
        </w:rPr>
        <w:t>通过发放宣传页使职工明确公积金各项业务的办理流程及所需资料，为缴存职工提供更加人性化的服务。</w:t>
      </w:r>
      <w:r>
        <w:rPr>
          <w:rFonts w:hint="eastAsia" w:ascii="仿宋_GB2312" w:hAnsi="仿宋_GB2312" w:cs="仿宋_GB2312"/>
          <w:szCs w:val="32"/>
          <w:lang w:val="en-US" w:eastAsia="zh-CN"/>
        </w:rPr>
        <w:t>12329客服热线全年</w:t>
      </w:r>
      <w:r>
        <w:rPr>
          <w:rFonts w:hint="eastAsia" w:ascii="仿宋_GB2312" w:hAnsi="仿宋_GB2312" w:cs="仿宋_GB2312"/>
          <w:szCs w:val="32"/>
        </w:rPr>
        <w:t>共接听来电11183通，</w:t>
      </w:r>
      <w:r>
        <w:rPr>
          <w:rFonts w:hint="eastAsia" w:ascii="仿宋_GB2312" w:hAnsi="仿宋_GB2312" w:cs="仿宋_GB2312"/>
          <w:szCs w:val="32"/>
          <w:lang w:eastAsia="zh-CN"/>
        </w:rPr>
        <w:t>进行政策解答，</w:t>
      </w:r>
      <w:r>
        <w:rPr>
          <w:rFonts w:hint="eastAsia" w:ascii="仿宋_GB2312" w:hAnsi="仿宋_GB2312" w:cs="仿宋_GB2312"/>
          <w:szCs w:val="32"/>
        </w:rPr>
        <w:t>业务满意度回访、贷款首期扣款提醒及问题处理8822通，合计20005通；其中在疫情期间共受理线下业务预约25笔，满意度100%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  <w:lang w:val="zh-CN"/>
        </w:rPr>
        <w:t xml:space="preserve">.通过微信公众号、移动客户端进行公开 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/>
        </w:rPr>
        <w:t>不断加强政务新媒体建设管理，通过微信注册用户</w:t>
      </w:r>
      <w:r>
        <w:rPr>
          <w:rFonts w:hint="eastAsia" w:ascii="仿宋_GB2312" w:hAnsi="仿宋_GB2312" w:cs="仿宋_GB2312"/>
          <w:szCs w:val="32"/>
          <w:lang w:val="en-US" w:eastAsia="zh-CN"/>
        </w:rPr>
        <w:t>3841人，手机客户端118人，微信访问量2348820人次，手机APP访问量61100人次。</w:t>
      </w:r>
      <w:r>
        <w:rPr>
          <w:rFonts w:hint="eastAsia" w:ascii="仿宋_GB2312" w:hAnsi="仿宋_GB2312" w:cs="仿宋_GB2312"/>
          <w:szCs w:val="32"/>
          <w:lang w:val="zh-CN"/>
        </w:rPr>
        <w:t>“铜川公积金”微信公众号用户</w:t>
      </w:r>
      <w:r>
        <w:rPr>
          <w:rFonts w:hint="eastAsia" w:ascii="仿宋_GB2312" w:hAnsi="仿宋_GB2312" w:cs="仿宋_GB2312"/>
          <w:szCs w:val="32"/>
          <w:lang w:val="en-US" w:eastAsia="zh-CN"/>
        </w:rPr>
        <w:t>4.85万，全年发布图文信息224条，其中政务信息147期，“文明健康 有你有我”专题信息20期，“民法典宣传”专题信息11期，及时传播政府公开信息，提供政务服务</w:t>
      </w:r>
      <w:r>
        <w:rPr>
          <w:rFonts w:hint="eastAsia" w:ascii="仿宋_GB2312" w:hAnsi="仿宋_GB2312" w:cs="仿宋_GB2312"/>
          <w:szCs w:val="32"/>
          <w:lang w:val="zh-CN"/>
        </w:rPr>
        <w:t xml:space="preserve">。 </w:t>
      </w:r>
    </w:p>
    <w:p>
      <w:pPr>
        <w:pStyle w:val="2"/>
        <w:spacing w:line="240" w:lineRule="auto"/>
        <w:ind w:firstLine="637"/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  <w:t xml:space="preserve">）人大代表建议、政协提案办理情况 </w:t>
      </w: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  <w:r>
        <w:rPr>
          <w:rFonts w:hint="eastAsia" w:hAnsi="仿宋_GB2312"/>
          <w:kern w:val="2"/>
          <w:sz w:val="32"/>
          <w:szCs w:val="32"/>
          <w:lang w:val="en-US" w:eastAsia="zh-CN"/>
        </w:rPr>
        <w:t>2020</w:t>
      </w:r>
      <w:r>
        <w:rPr>
          <w:rFonts w:hint="eastAsia" w:hAnsi="仿宋_GB2312"/>
          <w:kern w:val="2"/>
          <w:sz w:val="32"/>
          <w:szCs w:val="32"/>
        </w:rPr>
        <w:t>年度市公积金中心办理政协提案</w:t>
      </w:r>
      <w:r>
        <w:rPr>
          <w:rFonts w:hint="eastAsia" w:hAnsi="仿宋_GB2312"/>
          <w:kern w:val="2"/>
          <w:sz w:val="32"/>
          <w:szCs w:val="32"/>
          <w:lang w:val="en-US" w:eastAsia="zh-CN"/>
        </w:rPr>
        <w:t>1件</w:t>
      </w:r>
      <w:r>
        <w:rPr>
          <w:rFonts w:hint="eastAsia" w:hAnsi="仿宋_GB2312"/>
          <w:kern w:val="2"/>
          <w:sz w:val="32"/>
          <w:szCs w:val="32"/>
        </w:rPr>
        <w:t xml:space="preserve">。 </w:t>
      </w:r>
    </w:p>
    <w:p>
      <w:pPr>
        <w:pStyle w:val="2"/>
        <w:spacing w:line="240" w:lineRule="auto"/>
        <w:ind w:firstLine="640"/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  <w:t xml:space="preserve">）依申请公开及政府信息公开收费、减免情况 </w:t>
      </w: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  <w:r>
        <w:rPr>
          <w:rFonts w:hint="eastAsia" w:hAnsi="仿宋_GB2312"/>
          <w:kern w:val="2"/>
          <w:sz w:val="32"/>
          <w:szCs w:val="32"/>
          <w:lang w:val="en-US" w:eastAsia="zh-CN"/>
        </w:rPr>
        <w:t>2020</w:t>
      </w:r>
      <w:r>
        <w:rPr>
          <w:rFonts w:hint="eastAsia" w:hAnsi="仿宋_GB2312"/>
          <w:kern w:val="2"/>
          <w:sz w:val="32"/>
          <w:szCs w:val="32"/>
        </w:rPr>
        <w:t>年度市公积金中心</w:t>
      </w:r>
      <w:r>
        <w:rPr>
          <w:rFonts w:hint="eastAsia" w:hAnsi="仿宋_GB2312"/>
          <w:kern w:val="2"/>
          <w:sz w:val="32"/>
          <w:szCs w:val="32"/>
          <w:lang w:eastAsia="zh-CN"/>
        </w:rPr>
        <w:t>没有</w:t>
      </w:r>
      <w:r>
        <w:rPr>
          <w:rFonts w:hint="eastAsia" w:hAnsi="仿宋_GB2312"/>
          <w:kern w:val="2"/>
          <w:sz w:val="32"/>
          <w:szCs w:val="32"/>
        </w:rPr>
        <w:t>依申请公开</w:t>
      </w:r>
      <w:r>
        <w:rPr>
          <w:rFonts w:hint="eastAsia" w:hAnsi="仿宋_GB2312"/>
          <w:kern w:val="2"/>
          <w:sz w:val="32"/>
          <w:szCs w:val="32"/>
          <w:lang w:eastAsia="zh-CN"/>
        </w:rPr>
        <w:t>情况</w:t>
      </w:r>
      <w:r>
        <w:rPr>
          <w:rFonts w:hint="eastAsia" w:hAnsi="仿宋_GB2312"/>
          <w:kern w:val="2"/>
          <w:sz w:val="32"/>
          <w:szCs w:val="32"/>
        </w:rPr>
        <w:t>。</w:t>
      </w:r>
    </w:p>
    <w:p>
      <w:pPr>
        <w:pStyle w:val="2"/>
        <w:spacing w:line="240" w:lineRule="auto"/>
        <w:ind w:firstLine="640"/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snapToGrid w:val="0"/>
          <w:kern w:val="32"/>
          <w:sz w:val="32"/>
          <w:szCs w:val="32"/>
        </w:rPr>
        <w:t xml:space="preserve">）因政府信息公开申请复议、提起诉讼情况 </w:t>
      </w: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  <w:r>
        <w:rPr>
          <w:rFonts w:hint="eastAsia" w:hAnsi="仿宋_GB2312"/>
          <w:kern w:val="2"/>
          <w:sz w:val="32"/>
          <w:szCs w:val="32"/>
          <w:lang w:val="en-US" w:eastAsia="zh-CN"/>
        </w:rPr>
        <w:t>2020</w:t>
      </w:r>
      <w:r>
        <w:rPr>
          <w:rFonts w:hint="eastAsia" w:hAnsi="仿宋_GB2312"/>
          <w:kern w:val="2"/>
          <w:sz w:val="32"/>
          <w:szCs w:val="32"/>
        </w:rPr>
        <w:t>年</w:t>
      </w:r>
      <w:r>
        <w:rPr>
          <w:rFonts w:hint="eastAsia" w:hAnsi="仿宋_GB2312"/>
          <w:kern w:val="2"/>
          <w:sz w:val="32"/>
          <w:szCs w:val="32"/>
          <w:lang w:eastAsia="zh-CN"/>
        </w:rPr>
        <w:t>度</w:t>
      </w:r>
      <w:r>
        <w:rPr>
          <w:rFonts w:hint="eastAsia" w:hAnsi="仿宋_GB2312"/>
          <w:kern w:val="2"/>
          <w:sz w:val="32"/>
          <w:szCs w:val="32"/>
        </w:rPr>
        <w:t xml:space="preserve">未收到因政府信息公开工作引发举报、投诉、申请行政复议或提起行政诉讼的情况。 </w:t>
      </w:r>
      <w:r>
        <w:rPr>
          <w:rFonts w:hint="eastAsia" w:hAnsi="仿宋_GB2312"/>
          <w:kern w:val="2"/>
          <w:sz w:val="32"/>
          <w:szCs w:val="32"/>
        </w:rPr>
        <w:br w:type="textWrapping"/>
      </w: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</w:p>
    <w:p>
      <w:pPr>
        <w:pStyle w:val="2"/>
        <w:spacing w:line="240" w:lineRule="auto"/>
        <w:ind w:firstLine="640"/>
        <w:rPr>
          <w:rFonts w:hint="eastAsia" w:hAnsi="仿宋_GB2312"/>
          <w:kern w:val="2"/>
          <w:sz w:val="32"/>
          <w:szCs w:val="32"/>
        </w:rPr>
      </w:pPr>
    </w:p>
    <w:p>
      <w:pPr>
        <w:tabs>
          <w:tab w:val="left" w:pos="7791"/>
        </w:tabs>
        <w:ind w:firstLine="660" w:firstLineChars="202"/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二</w:t>
      </w:r>
      <w:bookmarkEnd w:id="0"/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92"/>
        <w:gridCol w:w="2238"/>
        <w:gridCol w:w="2372"/>
        <w:gridCol w:w="2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本年新制作数量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本年新公开数量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规章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规范性文件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行政许可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其他对外管理服务事项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行政处罚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行政强制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上一年项目数量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本年增/减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行政事业性收费费费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采购项目数量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采购总金额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zh-CN"/>
              </w:rPr>
              <w:t>政府集中釆购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94" w:firstLineChars="200"/>
              <w:jc w:val="left"/>
              <w:rPr>
                <w:rFonts w:hint="eastAsia" w:ascii="宋体" w:hAnsi="宋体" w:eastAsia="仿宋_GB2312" w:cs="宋体"/>
                <w:snapToGrid w:val="0"/>
                <w:kern w:val="3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988" w:firstLineChars="400"/>
              <w:jc w:val="left"/>
              <w:rPr>
                <w:rFonts w:ascii="宋体" w:hAnsi="宋体" w:cs="宋体"/>
                <w:snapToGrid w:val="0"/>
                <w:kern w:val="32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  <w:lang w:val="en-US" w:eastAsia="zh-CN"/>
              </w:rPr>
              <w:t>525.53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24"/>
              </w:rPr>
              <w:t>万元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tabs>
          <w:tab w:val="left" w:pos="7791"/>
        </w:tabs>
        <w:ind w:firstLine="660" w:firstLineChars="202"/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</w:pPr>
      <w:bookmarkStart w:id="1" w:name="bookmark29"/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三</w:t>
      </w:r>
      <w:bookmarkEnd w:id="1"/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、收到和处理政府信息公开申请情况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2"/>
        <w:gridCol w:w="1069"/>
        <w:gridCol w:w="3261"/>
        <w:gridCol w:w="584"/>
        <w:gridCol w:w="570"/>
        <w:gridCol w:w="570"/>
        <w:gridCol w:w="555"/>
        <w:gridCol w:w="570"/>
        <w:gridCol w:w="525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4922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（本列数据的勾稽关系为：第一项加第二项之和， 等于第三项加第四项之和）</w:t>
            </w:r>
          </w:p>
        </w:tc>
        <w:tc>
          <w:tcPr>
            <w:tcW w:w="3842" w:type="dxa"/>
            <w:gridSpan w:val="7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4922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584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自然人</w:t>
            </w:r>
          </w:p>
        </w:tc>
        <w:tc>
          <w:tcPr>
            <w:tcW w:w="2790" w:type="dxa"/>
            <w:gridSpan w:val="5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法人或其他组织</w:t>
            </w:r>
          </w:p>
        </w:tc>
        <w:tc>
          <w:tcPr>
            <w:tcW w:w="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center"/>
        </w:trPr>
        <w:tc>
          <w:tcPr>
            <w:tcW w:w="4922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584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商业 企业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科研 机构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社会 公益 组织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法律 服务 机构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其他</w:t>
            </w:r>
          </w:p>
        </w:tc>
        <w:tc>
          <w:tcPr>
            <w:tcW w:w="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4922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一、本年新收政府信息公开申请数量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4922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二、上年结转政府信息公开申请数量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592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spacing w:val="2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三、本年度办理结果</w:t>
            </w:r>
          </w:p>
        </w:tc>
        <w:tc>
          <w:tcPr>
            <w:tcW w:w="4330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（一）予以公开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4330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（二）部分公开（区分处理的，只计这一情形，不计其他情形）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（三）不予公开</w:t>
            </w: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属于国家秘密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 w:val="24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 w:val="24"/>
                <w:lang w:val="zh-CN"/>
              </w:rPr>
              <w:t>其他法律行政法规禁止公开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危及“三安全一稳定”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4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保护第三方合法权益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属于三类内部事务信息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6.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属于四类过程性信息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7.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属于行政执法案卷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8.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属于行政查询事项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（四）无法提供</w:t>
            </w: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 w:val="24"/>
              </w:rPr>
              <w:t>1.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 w:val="24"/>
                <w:lang w:val="zh-CN"/>
              </w:rPr>
              <w:t>本机关不掌握相关政府信息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spacing w:val="-6"/>
                <w:kern w:val="32"/>
                <w:sz w:val="24"/>
              </w:rPr>
              <w:t>2.</w:t>
            </w:r>
            <w:r>
              <w:rPr>
                <w:rFonts w:hint="eastAsia" w:ascii="宋体" w:hAnsi="宋体" w:cs="宋体"/>
                <w:snapToGrid w:val="0"/>
                <w:spacing w:val="-6"/>
                <w:kern w:val="32"/>
                <w:sz w:val="24"/>
                <w:lang w:val="zh-CN"/>
              </w:rPr>
              <w:t>没有现成信息需要另行制作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补正后申请内容仍不明确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（五）不予处理</w:t>
            </w:r>
          </w:p>
        </w:tc>
        <w:tc>
          <w:tcPr>
            <w:tcW w:w="326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1.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信访举报投诉类申请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2.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重复申请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eastAsia="en-US"/>
              </w:rPr>
              <w:t>3.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要求提供公开出版物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4.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无正当理由大量反复申请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1069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326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5.</w:t>
            </w: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要求行政机关确认或重新出具已获取信息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4330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（六）其他处理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</w:p>
        </w:tc>
        <w:tc>
          <w:tcPr>
            <w:tcW w:w="4330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（七）总计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922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lang w:val="zh-CN"/>
              </w:rPr>
              <w:t>四、结转下年度继续办理</w:t>
            </w:r>
          </w:p>
        </w:tc>
        <w:tc>
          <w:tcPr>
            <w:tcW w:w="584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</w:rPr>
              <w:t>0</w:t>
            </w:r>
          </w:p>
        </w:tc>
      </w:tr>
    </w:tbl>
    <w:p>
      <w:pPr>
        <w:tabs>
          <w:tab w:val="left" w:pos="7791"/>
        </w:tabs>
        <w:ind w:firstLine="490" w:firstLineChars="150"/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</w:pPr>
      <w:bookmarkStart w:id="2" w:name="bookmark30"/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四</w:t>
      </w:r>
      <w:bookmarkEnd w:id="2"/>
      <w:r>
        <w:rPr>
          <w:rFonts w:hint="eastAsia" w:ascii="黑体" w:hAnsi="黑体" w:eastAsia="黑体" w:cs="黑体"/>
          <w:snapToGrid w:val="0"/>
          <w:kern w:val="32"/>
          <w:szCs w:val="32"/>
          <w:lang w:val="zh-CN"/>
        </w:rPr>
        <w:t>、政府信息公开行政复议、行政诉讼情况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525"/>
        <w:gridCol w:w="570"/>
        <w:gridCol w:w="495"/>
        <w:gridCol w:w="675"/>
        <w:gridCol w:w="629"/>
        <w:gridCol w:w="585"/>
        <w:gridCol w:w="540"/>
        <w:gridCol w:w="541"/>
        <w:gridCol w:w="510"/>
        <w:gridCol w:w="615"/>
        <w:gridCol w:w="615"/>
        <w:gridCol w:w="630"/>
        <w:gridCol w:w="525"/>
        <w:gridCol w:w="4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行政复议</w:t>
            </w:r>
          </w:p>
        </w:tc>
        <w:tc>
          <w:tcPr>
            <w:tcW w:w="56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结果 维持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结果 纠正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其他 结果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尚未 审结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未经复议直接起诉</w:t>
            </w:r>
          </w:p>
        </w:tc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结果 维持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结果 纠正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其他 结果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尚未 审结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总 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结果 维持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结果 纠正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其他 结果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尚未 审结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  <w:lang w:val="zh-CN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32"/>
                <w:sz w:val="24"/>
                <w:szCs w:val="18"/>
              </w:rPr>
              <w:t>0</w:t>
            </w:r>
          </w:p>
        </w:tc>
      </w:tr>
    </w:tbl>
    <w:p>
      <w:pPr>
        <w:spacing w:after="259" w:line="1" w:lineRule="exact"/>
      </w:pPr>
    </w:p>
    <w:p>
      <w:pPr>
        <w:pStyle w:val="5"/>
        <w:tabs>
          <w:tab w:val="left" w:pos="1210"/>
        </w:tabs>
        <w:spacing w:line="520" w:lineRule="exact"/>
        <w:ind w:firstLine="578"/>
        <w:jc w:val="left"/>
        <w:rPr>
          <w:rFonts w:hint="eastAsia" w:ascii="黑体" w:hAnsi="黑体" w:eastAsia="黑体" w:cs="黑体"/>
          <w:sz w:val="32"/>
          <w:szCs w:val="32"/>
        </w:rPr>
      </w:pPr>
      <w:bookmarkStart w:id="3" w:name="bookmark31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  <w:t>五</w:t>
      </w:r>
      <w:bookmarkEnd w:id="3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  <w:t>、存在的主要问题及改进情况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2020</w:t>
      </w:r>
      <w:r>
        <w:rPr>
          <w:rFonts w:hint="eastAsia" w:ascii="仿宋_GB2312" w:hAnsi="仿宋_GB2312" w:cs="仿宋_GB2312"/>
          <w:szCs w:val="32"/>
          <w:lang w:val="zh-CN"/>
        </w:rPr>
        <w:t>年，中心政府信息公开工作取得了一些成绩，但也存在一些薄弱环节。一是</w:t>
      </w:r>
      <w:r>
        <w:rPr>
          <w:rFonts w:hint="eastAsia" w:ascii="仿宋_GB2312" w:hAnsi="仿宋_GB2312" w:cs="仿宋_GB2312"/>
          <w:szCs w:val="32"/>
          <w:lang w:val="en-US" w:eastAsia="zh-CN"/>
        </w:rPr>
        <w:t>政府网站、政务新媒体等公开平台的管理维护方面仍需加强。</w:t>
      </w:r>
      <w:r>
        <w:rPr>
          <w:rFonts w:hint="eastAsia" w:ascii="仿宋_GB2312" w:hAnsi="仿宋_GB2312" w:cs="仿宋_GB2312"/>
          <w:szCs w:val="32"/>
          <w:lang w:val="zh-CN" w:eastAsia="zh-CN"/>
        </w:rPr>
        <w:t>二是</w:t>
      </w:r>
      <w:r>
        <w:rPr>
          <w:rFonts w:hint="eastAsia" w:ascii="仿宋_GB2312" w:hAnsi="仿宋_GB2312" w:cs="仿宋_GB2312"/>
          <w:szCs w:val="32"/>
          <w:lang w:val="en-US" w:eastAsia="zh-CN"/>
        </w:rPr>
        <w:t>政务公开工作面广量大、专业性强，政务公开工作人员的业务能力亟需提高。</w:t>
      </w:r>
    </w:p>
    <w:p>
      <w:pPr>
        <w:autoSpaceDE w:val="0"/>
        <w:autoSpaceDN w:val="0"/>
        <w:ind w:firstLine="654" w:firstLineChars="200"/>
        <w:jc w:val="left"/>
        <w:rPr>
          <w:rFonts w:hint="eastAsia" w:ascii="仿宋_GB2312" w:hAnsi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zh-CN" w:eastAsia="zh-CN"/>
        </w:rPr>
        <w:t>20</w:t>
      </w:r>
      <w:r>
        <w:rPr>
          <w:rFonts w:hint="eastAsia" w:ascii="仿宋_GB2312" w:hAnsi="仿宋_GB2312" w:cs="仿宋_GB2312"/>
          <w:szCs w:val="32"/>
          <w:lang w:val="en-US" w:eastAsia="zh-CN"/>
        </w:rPr>
        <w:t>21</w:t>
      </w:r>
      <w:r>
        <w:rPr>
          <w:rFonts w:hint="eastAsia" w:ascii="仿宋_GB2312" w:hAnsi="仿宋_GB2312" w:cs="仿宋_GB2312"/>
          <w:szCs w:val="32"/>
          <w:lang w:val="zh-CN" w:eastAsia="zh-CN"/>
        </w:rPr>
        <w:t>年我们将继续努力，从以下三方面进行改进： 一是</w:t>
      </w:r>
      <w:r>
        <w:rPr>
          <w:rFonts w:hint="eastAsia" w:ascii="仿宋_GB2312" w:hAnsi="仿宋_GB2312" w:cs="仿宋_GB2312"/>
          <w:szCs w:val="32"/>
          <w:lang w:val="en-US" w:eastAsia="zh-CN"/>
        </w:rPr>
        <w:t>加强网站常态化管理，提高网站建设运维水平，提高微信公众号内容发布质量，优化线上服务功能，</w:t>
      </w:r>
      <w:r>
        <w:rPr>
          <w:rFonts w:hint="eastAsia" w:ascii="仿宋_GB2312" w:hAnsi="仿宋_GB2312" w:cs="仿宋_GB2312"/>
          <w:szCs w:val="32"/>
          <w:lang w:val="zh-CN" w:eastAsia="zh-CN"/>
        </w:rPr>
        <w:t>加大政府信息公开工作力度，促进中心执法公开透明。二是</w:t>
      </w:r>
      <w:r>
        <w:rPr>
          <w:rFonts w:hint="eastAsia" w:ascii="仿宋_GB2312" w:hAnsi="仿宋_GB2312" w:cs="仿宋_GB2312"/>
          <w:szCs w:val="32"/>
          <w:lang w:val="en-US" w:eastAsia="zh-CN"/>
        </w:rPr>
        <w:t>加强教育培训，提高对信息公开工作重要性的认识，增强工作的主动性和自觉性，提高信息公开工作人员业务水平。</w:t>
      </w:r>
      <w:r>
        <w:rPr>
          <w:rFonts w:hint="eastAsia" w:ascii="仿宋_GB2312" w:hAnsi="仿宋_GB2312" w:cs="仿宋_GB2312"/>
          <w:szCs w:val="32"/>
          <w:lang w:val="zh-CN" w:eastAsia="zh-CN"/>
        </w:rPr>
        <w:t>三是加大公积金宣传力度，扩大公积金覆盖面。充分利用线上线下各类公开平台宣传住房公积金惠企利民政策。</w:t>
      </w:r>
      <w:r>
        <w:rPr>
          <w:rFonts w:hint="eastAsia" w:ascii="仿宋_GB2312" w:hAnsi="仿宋_GB2312" w:cs="仿宋_GB2312"/>
          <w:szCs w:val="32"/>
          <w:lang w:val="zh-CN"/>
        </w:rPr>
        <w:t xml:space="preserve"> </w:t>
      </w:r>
    </w:p>
    <w:p>
      <w:pPr>
        <w:pStyle w:val="5"/>
        <w:shd w:val="clear" w:color="auto" w:fill="auto"/>
        <w:tabs>
          <w:tab w:val="left" w:pos="1210"/>
        </w:tabs>
        <w:spacing w:line="520" w:lineRule="exact"/>
        <w:ind w:firstLine="578"/>
        <w:jc w:val="left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</w:pPr>
      <w:bookmarkStart w:id="4" w:name="bookmark32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  <w:t>六</w:t>
      </w:r>
      <w:bookmarkEnd w:id="4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 w:eastAsia="zh-CN" w:bidi="ar-SA"/>
        </w:rPr>
        <w:t>、其他需要报告的事项</w:t>
      </w:r>
    </w:p>
    <w:p>
      <w:pPr>
        <w:autoSpaceDE w:val="0"/>
        <w:autoSpaceDN w:val="0"/>
        <w:ind w:firstLine="654" w:firstLineChars="200"/>
        <w:jc w:val="left"/>
      </w:pPr>
      <w:r>
        <w:rPr>
          <w:rFonts w:hint="eastAsia" w:ascii="仿宋_GB2312" w:hAnsi="仿宋_GB2312" w:cs="仿宋_GB2312"/>
          <w:szCs w:val="32"/>
          <w:lang w:val="zh-CN" w:eastAsia="zh-CN"/>
        </w:rPr>
        <w:t>如对本报告有疑问，请与市公积金中心办公室联系</w:t>
      </w:r>
      <w:bookmarkStart w:id="5" w:name="_GoBack"/>
      <w:bookmarkEnd w:id="5"/>
      <w:r>
        <w:rPr>
          <w:rFonts w:hint="eastAsia" w:ascii="仿宋_GB2312" w:hAnsi="仿宋_GB2312" w:cs="仿宋_GB2312"/>
          <w:szCs w:val="32"/>
          <w:lang w:val="zh-CN" w:eastAsia="zh-CN"/>
        </w:rPr>
        <w:t>。通信地址：陕西省铜川市新区华原东道公积金办公楼，邮箱：727031，联系电话：0919-3286338，电子邮箱：</w:t>
      </w:r>
      <w:r>
        <w:rPr>
          <w:rFonts w:hint="eastAsia" w:ascii="仿宋_GB2312" w:hAnsi="仿宋_GB2312" w:cs="仿宋_GB2312"/>
          <w:szCs w:val="32"/>
          <w:lang w:val="zh-CN" w:eastAsia="zh-CN"/>
        </w:rPr>
        <w:fldChar w:fldCharType="begin"/>
      </w:r>
      <w:r>
        <w:rPr>
          <w:rFonts w:hint="eastAsia" w:ascii="仿宋_GB2312" w:hAnsi="仿宋_GB2312" w:cs="仿宋_GB2312"/>
          <w:szCs w:val="32"/>
          <w:lang w:val="zh-CN" w:eastAsia="zh-CN"/>
        </w:rPr>
        <w:instrText xml:space="preserve"> HYPERLINK "mailto:tcgjj6338@163.com" </w:instrText>
      </w:r>
      <w:r>
        <w:rPr>
          <w:rFonts w:hint="eastAsia" w:ascii="仿宋_GB2312" w:hAnsi="仿宋_GB2312" w:cs="仿宋_GB2312"/>
          <w:szCs w:val="32"/>
          <w:lang w:val="zh-CN" w:eastAsia="zh-CN"/>
        </w:rPr>
        <w:fldChar w:fldCharType="separate"/>
      </w:r>
      <w:r>
        <w:rPr>
          <w:rFonts w:hint="eastAsia" w:ascii="仿宋_GB2312" w:hAnsi="仿宋_GB2312" w:cs="仿宋_GB2312"/>
          <w:szCs w:val="32"/>
          <w:lang w:val="en-US" w:eastAsia="zh-CN"/>
        </w:rPr>
        <w:t>tcgjj6338@163.com</w:t>
      </w:r>
      <w:r>
        <w:rPr>
          <w:rFonts w:hint="eastAsia" w:ascii="仿宋_GB2312" w:hAnsi="仿宋_GB2312" w:cs="仿宋_GB2312"/>
          <w:szCs w:val="32"/>
          <w:lang w:val="zh-CN" w:eastAsia="zh-CN"/>
        </w:rPr>
        <w:fldChar w:fldCharType="end"/>
      </w:r>
      <w:r>
        <w:rPr>
          <w:rFonts w:hint="eastAsia" w:ascii="仿宋_GB2312" w:hAnsi="仿宋_GB2312" w:cs="仿宋_GB2312"/>
          <w:szCs w:val="32"/>
          <w:lang w:val="zh-CN" w:eastAsia="zh-CN"/>
        </w:rPr>
        <w:t>。</w:t>
      </w:r>
    </w:p>
    <w:sectPr>
      <w:pgSz w:w="11906" w:h="16838"/>
      <w:pgMar w:top="2211" w:right="1531" w:bottom="1871" w:left="1531" w:header="851" w:footer="1644" w:gutter="0"/>
      <w:cols w:space="0" w:num="1"/>
      <w:rtlGutter w:val="0"/>
      <w:docGrid w:type="linesAndChars" w:linePitch="554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4"/>
  <w:drawingGridVerticalSpacing w:val="27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041A"/>
    <w:rsid w:val="278408C9"/>
    <w:rsid w:val="371E26DC"/>
    <w:rsid w:val="5A6B65E5"/>
    <w:rsid w:val="735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rFonts w:ascii="仿宋_GB2312" w:eastAsia="仿宋_GB2312" w:cs="仿宋_GB2312"/>
      <w:kern w:val="0"/>
      <w:sz w:val="30"/>
      <w:szCs w:val="30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2021-02-01T01:21:00Z</dcterms:created>
  <dc:creator>公积金办公室</dc:creator>
  <cp:lastModifiedBy>公积金办公室</cp:lastModifiedBy>
  <dcterms:modified xsi:type="dcterms:W3CDTF">2021-02-25T01:35:40Z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