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60" w:lineRule="exact"/>
        <w:ind w:left="0" w:right="0"/>
        <w:jc w:val="center"/>
        <w:textAlignment w:val="auto"/>
        <w:rPr>
          <w:rFonts w:hint="eastAsia" w:ascii="方正小标宋简体" w:hAnsi="方正小标宋简体" w:eastAsia="方正小标宋简体" w:cs="方正小标宋简体"/>
          <w:color w:val="000000"/>
          <w:sz w:val="44"/>
          <w:szCs w:val="44"/>
          <w:shd w:val="clear" w:fill="FFFFFF"/>
        </w:rPr>
      </w:pPr>
      <w:r>
        <w:rPr>
          <w:rFonts w:hint="eastAsia" w:ascii="方正小标宋简体" w:hAnsi="方正小标宋简体" w:eastAsia="方正小标宋简体" w:cs="方正小标宋简体"/>
          <w:color w:val="000000"/>
          <w:sz w:val="44"/>
          <w:szCs w:val="44"/>
          <w:shd w:val="clear" w:fill="FFFFFF"/>
          <w:lang w:val="en-US" w:eastAsia="zh-CN"/>
        </w:rPr>
        <w:t>耀州窑文化基地管理委员会2020年政府信息公开工作年度报告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000000"/>
          <w:sz w:val="32"/>
          <w:szCs w:val="32"/>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color w:val="000000"/>
          <w:sz w:val="32"/>
          <w:szCs w:val="32"/>
          <w:shd w:val="clear" w:fill="FFFFFF"/>
        </w:rPr>
      </w:pPr>
      <w:r>
        <w:rPr>
          <w:rFonts w:hint="eastAsia" w:ascii="仿宋_GB2312" w:hAnsi="仿宋_GB2312" w:eastAsia="仿宋_GB2312" w:cs="仿宋_GB2312"/>
          <w:color w:val="000000"/>
          <w:sz w:val="32"/>
          <w:szCs w:val="32"/>
          <w:shd w:val="clear" w:fill="FFFFFF"/>
        </w:rPr>
        <w:t>根据《中华人民共和国政府信息公开条例》（国令第711号）（以下简称《条例》），现公布</w:t>
      </w:r>
      <w:r>
        <w:rPr>
          <w:rFonts w:hint="eastAsia" w:ascii="仿宋_GB2312" w:hAnsi="仿宋_GB2312" w:eastAsia="仿宋_GB2312" w:cs="仿宋_GB2312"/>
          <w:color w:val="000000"/>
          <w:sz w:val="32"/>
          <w:szCs w:val="32"/>
          <w:shd w:val="clear" w:fill="FFFFFF"/>
          <w:lang w:eastAsia="zh-CN"/>
        </w:rPr>
        <w:t>耀州窑文化基地管委会</w:t>
      </w:r>
      <w:r>
        <w:rPr>
          <w:rFonts w:hint="eastAsia" w:ascii="仿宋_GB2312" w:hAnsi="仿宋_GB2312" w:eastAsia="仿宋_GB2312" w:cs="仿宋_GB2312"/>
          <w:color w:val="000000"/>
          <w:sz w:val="32"/>
          <w:szCs w:val="32"/>
          <w:shd w:val="clear" w:fill="FFFFFF"/>
        </w:rPr>
        <w:t>20</w:t>
      </w:r>
      <w:r>
        <w:rPr>
          <w:rFonts w:hint="eastAsia" w:ascii="仿宋_GB2312" w:hAnsi="仿宋_GB2312" w:eastAsia="仿宋_GB2312" w:cs="仿宋_GB2312"/>
          <w:color w:val="000000"/>
          <w:sz w:val="32"/>
          <w:szCs w:val="32"/>
          <w:shd w:val="clear" w:fill="FFFFFF"/>
          <w:lang w:val="en-US" w:eastAsia="zh-CN"/>
        </w:rPr>
        <w:t>20</w:t>
      </w:r>
      <w:r>
        <w:rPr>
          <w:rFonts w:hint="eastAsia" w:ascii="仿宋_GB2312" w:hAnsi="仿宋_GB2312" w:eastAsia="仿宋_GB2312" w:cs="仿宋_GB2312"/>
          <w:color w:val="000000"/>
          <w:sz w:val="32"/>
          <w:szCs w:val="32"/>
          <w:shd w:val="clear" w:fill="FFFFFF"/>
        </w:rPr>
        <w:t>年政府信息公开工作年度报告。本报告所列数据统计期限自20</w:t>
      </w:r>
      <w:r>
        <w:rPr>
          <w:rFonts w:hint="eastAsia" w:ascii="仿宋_GB2312" w:hAnsi="仿宋_GB2312" w:eastAsia="仿宋_GB2312" w:cs="仿宋_GB2312"/>
          <w:color w:val="000000"/>
          <w:sz w:val="32"/>
          <w:szCs w:val="32"/>
          <w:shd w:val="clear" w:fill="FFFFFF"/>
          <w:lang w:val="en-US" w:eastAsia="zh-CN"/>
        </w:rPr>
        <w:t>20</w:t>
      </w:r>
      <w:r>
        <w:rPr>
          <w:rFonts w:hint="eastAsia" w:ascii="仿宋_GB2312" w:hAnsi="仿宋_GB2312" w:eastAsia="仿宋_GB2312" w:cs="仿宋_GB2312"/>
          <w:color w:val="000000"/>
          <w:sz w:val="32"/>
          <w:szCs w:val="32"/>
          <w:shd w:val="clear" w:fill="FFFFFF"/>
        </w:rPr>
        <w:t>年1月1日至20</w:t>
      </w:r>
      <w:r>
        <w:rPr>
          <w:rFonts w:hint="eastAsia" w:ascii="仿宋_GB2312" w:hAnsi="仿宋_GB2312" w:eastAsia="仿宋_GB2312" w:cs="仿宋_GB2312"/>
          <w:color w:val="000000"/>
          <w:sz w:val="32"/>
          <w:szCs w:val="32"/>
          <w:shd w:val="clear" w:fill="FFFFFF"/>
          <w:lang w:val="en-US" w:eastAsia="zh-CN"/>
        </w:rPr>
        <w:t>20</w:t>
      </w:r>
      <w:r>
        <w:rPr>
          <w:rFonts w:hint="eastAsia" w:ascii="仿宋_GB2312" w:hAnsi="仿宋_GB2312" w:eastAsia="仿宋_GB2312" w:cs="仿宋_GB2312"/>
          <w:color w:val="000000"/>
          <w:sz w:val="32"/>
          <w:szCs w:val="32"/>
          <w:shd w:val="clear" w:fill="FFFFFF"/>
        </w:rPr>
        <w:t xml:space="preserve">年12月31日。 </w:t>
      </w:r>
      <w:r>
        <w:rPr>
          <w:rFonts w:hint="eastAsia" w:ascii="仿宋_GB2312" w:hAnsi="仿宋_GB2312" w:eastAsia="仿宋_GB2312" w:cs="仿宋_GB2312"/>
          <w:color w:val="000000"/>
          <w:sz w:val="32"/>
          <w:szCs w:val="32"/>
          <w:shd w:val="clear" w:fill="FFFFFF"/>
        </w:rPr>
        <w:br w:type="textWrapping"/>
      </w:r>
      <w:r>
        <w:rPr>
          <w:rFonts w:hint="eastAsia" w:ascii="仿宋_GB2312" w:hAnsi="仿宋_GB2312" w:eastAsia="仿宋_GB2312" w:cs="仿宋_GB2312"/>
          <w:color w:val="000000"/>
          <w:sz w:val="32"/>
          <w:szCs w:val="32"/>
          <w:shd w:val="clear" w:fill="FFFFFF"/>
        </w:rPr>
        <w:t>　　</w:t>
      </w:r>
      <w:r>
        <w:rPr>
          <w:rFonts w:hint="eastAsia" w:ascii="黑体" w:hAnsi="黑体" w:eastAsia="黑体" w:cs="黑体"/>
          <w:b w:val="0"/>
          <w:bCs/>
          <w:color w:val="000000"/>
          <w:sz w:val="32"/>
          <w:szCs w:val="32"/>
          <w:shd w:val="clear" w:fill="FFFFFF"/>
        </w:rPr>
        <w:t xml:space="preserve">一、总体情况 </w:t>
      </w:r>
      <w:r>
        <w:rPr>
          <w:rFonts w:hint="eastAsia" w:ascii="仿宋_GB2312" w:hAnsi="仿宋_GB2312" w:eastAsia="仿宋_GB2312" w:cs="仿宋_GB2312"/>
          <w:color w:val="000000"/>
          <w:sz w:val="32"/>
          <w:szCs w:val="32"/>
          <w:shd w:val="clear" w:fill="FFFFFF"/>
        </w:rPr>
        <w:br w:type="textWrapping"/>
      </w:r>
      <w:r>
        <w:rPr>
          <w:rFonts w:hint="eastAsia" w:ascii="仿宋_GB2312" w:hAnsi="仿宋_GB2312" w:eastAsia="仿宋_GB2312" w:cs="仿宋_GB2312"/>
          <w:color w:val="000000"/>
          <w:sz w:val="32"/>
          <w:szCs w:val="32"/>
          <w:shd w:val="clear" w:fill="FFFFFF"/>
        </w:rPr>
        <w:t>　　20</w:t>
      </w:r>
      <w:r>
        <w:rPr>
          <w:rFonts w:hint="eastAsia" w:ascii="仿宋_GB2312" w:hAnsi="仿宋_GB2312" w:eastAsia="仿宋_GB2312" w:cs="仿宋_GB2312"/>
          <w:color w:val="000000"/>
          <w:sz w:val="32"/>
          <w:szCs w:val="32"/>
          <w:shd w:val="clear" w:fill="FFFFFF"/>
          <w:lang w:val="en-US" w:eastAsia="zh-CN"/>
        </w:rPr>
        <w:t>20</w:t>
      </w:r>
      <w:r>
        <w:rPr>
          <w:rFonts w:hint="eastAsia" w:ascii="仿宋_GB2312" w:hAnsi="仿宋_GB2312" w:eastAsia="仿宋_GB2312" w:cs="仿宋_GB2312"/>
          <w:color w:val="000000"/>
          <w:sz w:val="32"/>
          <w:szCs w:val="32"/>
          <w:shd w:val="clear" w:fill="FFFFFF"/>
        </w:rPr>
        <w:t>年，</w:t>
      </w:r>
      <w:r>
        <w:rPr>
          <w:rFonts w:hint="eastAsia" w:ascii="仿宋_GB2312" w:hAnsi="仿宋_GB2312" w:eastAsia="仿宋_GB2312" w:cs="仿宋_GB2312"/>
          <w:color w:val="000000"/>
          <w:sz w:val="32"/>
          <w:szCs w:val="32"/>
          <w:shd w:val="clear" w:fill="FFFFFF"/>
          <w:lang w:eastAsia="zh-CN"/>
        </w:rPr>
        <w:t>耀州窑文化基地管委会</w:t>
      </w:r>
      <w:r>
        <w:rPr>
          <w:rFonts w:hint="eastAsia" w:ascii="仿宋_GB2312" w:hAnsi="仿宋_GB2312" w:eastAsia="仿宋_GB2312" w:cs="仿宋_GB2312"/>
          <w:color w:val="000000"/>
          <w:sz w:val="32"/>
          <w:szCs w:val="32"/>
          <w:shd w:val="clear" w:fill="FFFFFF"/>
        </w:rPr>
        <w:t xml:space="preserve">认真贯彻落实《条例》和中省关于全面推进政务公开工作的系列部署，坚持以“公开为常态、不公开为例外”的原则，大力推进决策、执行、管理、服务和结果公开，加强政策解读，回应社会关切，增强公开实效，政务公开工作质量和效果进一步提升。 </w:t>
      </w:r>
      <w:r>
        <w:rPr>
          <w:rFonts w:hint="eastAsia" w:ascii="仿宋_GB2312" w:hAnsi="仿宋_GB2312" w:eastAsia="仿宋_GB2312" w:cs="仿宋_GB2312"/>
          <w:color w:val="000000"/>
          <w:sz w:val="32"/>
          <w:szCs w:val="32"/>
          <w:shd w:val="clear" w:fill="FFFFFF"/>
        </w:rPr>
        <w:br w:type="textWrapping"/>
      </w:r>
      <w:r>
        <w:rPr>
          <w:rFonts w:hint="eastAsia" w:ascii="仿宋_GB2312" w:hAnsi="仿宋_GB2312" w:eastAsia="仿宋_GB2312" w:cs="仿宋_GB2312"/>
          <w:color w:val="000000"/>
          <w:sz w:val="32"/>
          <w:szCs w:val="32"/>
          <w:shd w:val="clear" w:fill="FFFFFF"/>
        </w:rPr>
        <w:t>　　（一）主动公开政府信息。全年主动公开政府信息</w:t>
      </w:r>
      <w:r>
        <w:rPr>
          <w:rFonts w:hint="eastAsia" w:ascii="仿宋_GB2312" w:hAnsi="仿宋_GB2312" w:eastAsia="仿宋_GB2312" w:cs="仿宋_GB2312"/>
          <w:color w:val="000000"/>
          <w:sz w:val="32"/>
          <w:szCs w:val="32"/>
          <w:shd w:val="clear" w:fill="FFFFFF"/>
          <w:lang w:val="en-US" w:eastAsia="zh-CN"/>
        </w:rPr>
        <w:t>650</w:t>
      </w:r>
      <w:r>
        <w:rPr>
          <w:rFonts w:hint="eastAsia" w:ascii="仿宋_GB2312" w:hAnsi="仿宋_GB2312" w:eastAsia="仿宋_GB2312" w:cs="仿宋_GB2312"/>
          <w:color w:val="000000"/>
          <w:sz w:val="32"/>
          <w:szCs w:val="32"/>
          <w:shd w:val="clear" w:fill="FFFFFF"/>
        </w:rPr>
        <w:t>条，其中市政府门户网站</w:t>
      </w:r>
      <w:r>
        <w:rPr>
          <w:rFonts w:hint="eastAsia" w:ascii="仿宋_GB2312" w:hAnsi="仿宋_GB2312" w:eastAsia="仿宋_GB2312" w:cs="仿宋_GB2312"/>
          <w:color w:val="000000"/>
          <w:sz w:val="32"/>
          <w:szCs w:val="32"/>
          <w:shd w:val="clear" w:fill="FFFFFF"/>
          <w:lang w:val="en-US" w:eastAsia="zh-CN"/>
        </w:rPr>
        <w:t>130</w:t>
      </w:r>
      <w:r>
        <w:rPr>
          <w:rFonts w:hint="eastAsia" w:ascii="仿宋_GB2312" w:hAnsi="仿宋_GB2312" w:eastAsia="仿宋_GB2312" w:cs="仿宋_GB2312"/>
          <w:color w:val="000000"/>
          <w:sz w:val="32"/>
          <w:szCs w:val="32"/>
          <w:shd w:val="clear" w:fill="FFFFFF"/>
        </w:rPr>
        <w:t>条，，政务微信</w:t>
      </w:r>
      <w:r>
        <w:rPr>
          <w:rFonts w:hint="eastAsia" w:ascii="仿宋_GB2312" w:hAnsi="仿宋_GB2312" w:eastAsia="仿宋_GB2312" w:cs="仿宋_GB2312"/>
          <w:color w:val="000000"/>
          <w:sz w:val="32"/>
          <w:szCs w:val="32"/>
          <w:shd w:val="clear" w:fill="FFFFFF"/>
          <w:lang w:val="en-US" w:eastAsia="zh-CN"/>
        </w:rPr>
        <w:t>222</w:t>
      </w:r>
      <w:r>
        <w:rPr>
          <w:rFonts w:hint="eastAsia" w:ascii="仿宋_GB2312" w:hAnsi="仿宋_GB2312" w:eastAsia="仿宋_GB2312" w:cs="仿宋_GB2312"/>
          <w:color w:val="000000"/>
          <w:sz w:val="32"/>
          <w:szCs w:val="32"/>
          <w:shd w:val="clear" w:fill="FFFFFF"/>
        </w:rPr>
        <w:t>条，其他方式</w:t>
      </w:r>
      <w:r>
        <w:rPr>
          <w:rFonts w:hint="eastAsia" w:ascii="仿宋_GB2312" w:hAnsi="仿宋_GB2312" w:eastAsia="仿宋_GB2312" w:cs="仿宋_GB2312"/>
          <w:color w:val="000000"/>
          <w:sz w:val="32"/>
          <w:szCs w:val="32"/>
          <w:shd w:val="clear" w:fill="FFFFFF"/>
          <w:lang w:val="en-US" w:eastAsia="zh-CN"/>
        </w:rPr>
        <w:t>298</w:t>
      </w:r>
      <w:r>
        <w:rPr>
          <w:rFonts w:hint="eastAsia" w:ascii="仿宋_GB2312" w:hAnsi="仿宋_GB2312" w:eastAsia="仿宋_GB2312" w:cs="仿宋_GB2312"/>
          <w:color w:val="000000"/>
          <w:sz w:val="32"/>
          <w:szCs w:val="32"/>
          <w:shd w:val="clear" w:fill="FFFFFF"/>
        </w:rPr>
        <w:t xml:space="preserve">条。公开范围涉及工作动态、政策法规等方面。 </w:t>
      </w:r>
      <w:r>
        <w:rPr>
          <w:rFonts w:hint="eastAsia" w:ascii="仿宋_GB2312" w:hAnsi="仿宋_GB2312" w:eastAsia="仿宋_GB2312" w:cs="仿宋_GB2312"/>
          <w:color w:val="000000"/>
          <w:sz w:val="32"/>
          <w:szCs w:val="32"/>
          <w:shd w:val="clear" w:fill="FFFFFF"/>
        </w:rPr>
        <w:br w:type="textWrapping"/>
      </w:r>
      <w:r>
        <w:rPr>
          <w:rFonts w:hint="eastAsia" w:ascii="仿宋_GB2312" w:hAnsi="仿宋_GB2312" w:eastAsia="仿宋_GB2312" w:cs="仿宋_GB2312"/>
          <w:color w:val="000000"/>
          <w:sz w:val="32"/>
          <w:szCs w:val="32"/>
          <w:shd w:val="clear" w:fill="FFFFFF"/>
        </w:rPr>
        <w:t>　　（二）依申请公开不断规范。完善了</w:t>
      </w:r>
      <w:r>
        <w:rPr>
          <w:rFonts w:hint="eastAsia" w:ascii="仿宋_GB2312" w:hAnsi="仿宋_GB2312" w:eastAsia="仿宋_GB2312" w:cs="仿宋_GB2312"/>
          <w:color w:val="000000"/>
          <w:sz w:val="32"/>
          <w:szCs w:val="32"/>
          <w:shd w:val="clear" w:fill="FFFFFF"/>
          <w:lang w:eastAsia="zh-CN"/>
        </w:rPr>
        <w:t>管委会</w:t>
      </w:r>
      <w:r>
        <w:rPr>
          <w:rFonts w:hint="eastAsia" w:ascii="仿宋_GB2312" w:hAnsi="仿宋_GB2312" w:eastAsia="仿宋_GB2312" w:cs="仿宋_GB2312"/>
          <w:color w:val="000000"/>
          <w:sz w:val="32"/>
          <w:szCs w:val="32"/>
          <w:shd w:val="clear" w:fill="FFFFFF"/>
        </w:rPr>
        <w:t>依申请公开办理流程、答复形式，</w:t>
      </w:r>
      <w:r>
        <w:rPr>
          <w:rFonts w:hint="eastAsia" w:ascii="仿宋_GB2312" w:hAnsi="仿宋_GB2312" w:eastAsia="仿宋_GB2312" w:cs="仿宋_GB2312"/>
          <w:color w:val="000000"/>
          <w:sz w:val="32"/>
          <w:szCs w:val="32"/>
          <w:shd w:val="clear" w:fill="FFFFFF"/>
          <w:lang w:eastAsia="zh-CN"/>
        </w:rPr>
        <w:t>严格参照市政府办公室印发的</w:t>
      </w:r>
      <w:r>
        <w:rPr>
          <w:rFonts w:hint="eastAsia" w:ascii="仿宋_GB2312" w:hAnsi="仿宋_GB2312" w:eastAsia="仿宋_GB2312" w:cs="仿宋_GB2312"/>
          <w:color w:val="000000"/>
          <w:sz w:val="32"/>
          <w:szCs w:val="32"/>
          <w:shd w:val="clear" w:fill="FFFFFF"/>
        </w:rPr>
        <w:t>《政府信息依申请公开答复示范文本》</w:t>
      </w:r>
      <w:r>
        <w:rPr>
          <w:rFonts w:hint="eastAsia" w:ascii="仿宋_GB2312" w:hAnsi="仿宋_GB2312" w:eastAsia="仿宋_GB2312" w:cs="仿宋_GB2312"/>
          <w:color w:val="000000"/>
          <w:sz w:val="32"/>
          <w:szCs w:val="32"/>
          <w:shd w:val="clear" w:fill="FFFFFF"/>
          <w:lang w:eastAsia="zh-CN"/>
        </w:rPr>
        <w:t>执行</w:t>
      </w:r>
      <w:r>
        <w:rPr>
          <w:rFonts w:hint="eastAsia" w:ascii="仿宋_GB2312" w:hAnsi="仿宋_GB2312" w:eastAsia="仿宋_GB2312" w:cs="仿宋_GB2312"/>
          <w:color w:val="000000"/>
          <w:sz w:val="32"/>
          <w:szCs w:val="32"/>
          <w:shd w:val="clear" w:fill="FFFFFF"/>
        </w:rPr>
        <w:t>，规范依申请公开29种回复格式，全年</w:t>
      </w:r>
      <w:r>
        <w:rPr>
          <w:rFonts w:hint="eastAsia" w:ascii="仿宋_GB2312" w:hAnsi="仿宋_GB2312" w:eastAsia="仿宋_GB2312" w:cs="仿宋_GB2312"/>
          <w:color w:val="000000"/>
          <w:sz w:val="32"/>
          <w:szCs w:val="32"/>
          <w:shd w:val="clear" w:fill="FFFFFF"/>
          <w:lang w:eastAsia="zh-CN"/>
        </w:rPr>
        <w:t>收到并受</w:t>
      </w:r>
      <w:r>
        <w:rPr>
          <w:rFonts w:hint="eastAsia" w:ascii="仿宋_GB2312" w:hAnsi="仿宋_GB2312" w:eastAsia="仿宋_GB2312" w:cs="仿宋_GB2312"/>
          <w:color w:val="000000"/>
          <w:sz w:val="32"/>
          <w:szCs w:val="32"/>
          <w:shd w:val="clear" w:fill="FFFFFF"/>
        </w:rPr>
        <w:t>理依申请公开</w:t>
      </w:r>
      <w:r>
        <w:rPr>
          <w:rFonts w:hint="eastAsia" w:ascii="仿宋_GB2312" w:hAnsi="仿宋_GB2312" w:eastAsia="仿宋_GB2312" w:cs="仿宋_GB2312"/>
          <w:color w:val="000000"/>
          <w:sz w:val="32"/>
          <w:szCs w:val="32"/>
          <w:shd w:val="clear" w:fill="FFFFFF"/>
          <w:lang w:eastAsia="zh-CN"/>
        </w:rPr>
        <w:t>诉求</w:t>
      </w:r>
      <w:r>
        <w:rPr>
          <w:rFonts w:hint="eastAsia" w:ascii="仿宋_GB2312" w:hAnsi="仿宋_GB2312" w:eastAsia="仿宋_GB2312" w:cs="仿宋_GB2312"/>
          <w:color w:val="000000"/>
          <w:sz w:val="32"/>
          <w:szCs w:val="32"/>
          <w:shd w:val="clear" w:fill="FFFFFF"/>
          <w:lang w:val="en-US" w:eastAsia="zh-CN"/>
        </w:rPr>
        <w:t>2条</w:t>
      </w:r>
      <w:r>
        <w:rPr>
          <w:rFonts w:hint="eastAsia" w:ascii="仿宋_GB2312" w:hAnsi="仿宋_GB2312" w:eastAsia="仿宋_GB2312" w:cs="仿宋_GB2312"/>
          <w:color w:val="000000"/>
          <w:sz w:val="32"/>
          <w:szCs w:val="32"/>
          <w:shd w:val="clear" w:fill="FFFFFF"/>
          <w:lang w:eastAsia="zh-CN"/>
        </w:rPr>
        <w:t>。</w:t>
      </w:r>
      <w:r>
        <w:rPr>
          <w:rFonts w:hint="eastAsia" w:ascii="仿宋_GB2312" w:hAnsi="仿宋_GB2312" w:eastAsia="仿宋_GB2312" w:cs="仿宋_GB2312"/>
          <w:color w:val="000000"/>
          <w:sz w:val="32"/>
          <w:szCs w:val="32"/>
          <w:shd w:val="clear" w:fill="FFFFFF"/>
        </w:rPr>
        <w:t xml:space="preserve">未引发群众举报、申请行政复议、提起行政诉讼的情况。 </w:t>
      </w:r>
      <w:r>
        <w:rPr>
          <w:rFonts w:hint="eastAsia" w:ascii="仿宋_GB2312" w:hAnsi="仿宋_GB2312" w:eastAsia="仿宋_GB2312" w:cs="仿宋_GB2312"/>
          <w:color w:val="000000"/>
          <w:sz w:val="32"/>
          <w:szCs w:val="32"/>
          <w:shd w:val="clear" w:fill="FFFFFF"/>
        </w:rPr>
        <w:br w:type="textWrapping"/>
      </w:r>
      <w:r>
        <w:rPr>
          <w:rFonts w:hint="eastAsia" w:ascii="仿宋_GB2312" w:hAnsi="仿宋_GB2312" w:eastAsia="仿宋_GB2312" w:cs="仿宋_GB2312"/>
          <w:color w:val="000000"/>
          <w:sz w:val="32"/>
          <w:szCs w:val="32"/>
          <w:shd w:val="clear" w:fill="FFFFFF"/>
        </w:rPr>
        <w:t>　　（三）加强政务服务平台建设。</w:t>
      </w:r>
      <w:r>
        <w:rPr>
          <w:rFonts w:hint="eastAsia" w:ascii="仿宋_GB2312" w:hAnsi="仿宋_GB2312" w:eastAsia="仿宋_GB2312" w:cs="仿宋_GB2312"/>
          <w:color w:val="000000"/>
          <w:sz w:val="32"/>
          <w:szCs w:val="32"/>
          <w:shd w:val="clear" w:fill="FFFFFF"/>
          <w:lang w:eastAsia="zh-CN"/>
        </w:rPr>
        <w:t>加强基地管委会门户网站和政务微信公众号的安全防范及信息发布管理</w:t>
      </w:r>
      <w:r>
        <w:rPr>
          <w:rFonts w:hint="eastAsia" w:ascii="仿宋_GB2312" w:hAnsi="仿宋_GB2312" w:eastAsia="仿宋_GB2312" w:cs="仿宋_GB2312"/>
          <w:color w:val="000000"/>
          <w:sz w:val="32"/>
          <w:szCs w:val="32"/>
          <w:shd w:val="clear" w:fill="FFFFFF"/>
        </w:rPr>
        <w:t>，</w:t>
      </w:r>
      <w:r>
        <w:rPr>
          <w:rFonts w:hint="eastAsia" w:ascii="仿宋_GB2312" w:hAnsi="仿宋_GB2312" w:eastAsia="仿宋_GB2312" w:cs="仿宋_GB2312"/>
          <w:color w:val="000000"/>
          <w:sz w:val="32"/>
          <w:szCs w:val="32"/>
          <w:shd w:val="clear" w:fill="FFFFFF"/>
          <w:lang w:eastAsia="zh-CN"/>
        </w:rPr>
        <w:t>定期对网站安全进行检测维护，印发了《耀州窑文化基地管委会信息发布管理办法》，夯实信息安全责任，全年未发生网络安全事故及重大信息错误。</w:t>
      </w:r>
      <w:r>
        <w:rPr>
          <w:rFonts w:hint="eastAsia" w:ascii="仿宋_GB2312" w:hAnsi="仿宋_GB2312" w:eastAsia="仿宋_GB2312" w:cs="仿宋_GB2312"/>
          <w:color w:val="000000"/>
          <w:sz w:val="32"/>
          <w:szCs w:val="32"/>
          <w:shd w:val="clear" w:fill="FFFFFF"/>
        </w:rPr>
        <w:br w:type="textWrapping"/>
      </w:r>
      <w:r>
        <w:rPr>
          <w:rFonts w:hint="eastAsia" w:ascii="仿宋_GB2312" w:hAnsi="仿宋_GB2312" w:eastAsia="仿宋_GB2312" w:cs="仿宋_GB2312"/>
          <w:color w:val="000000"/>
          <w:sz w:val="32"/>
          <w:szCs w:val="32"/>
          <w:shd w:val="clear" w:fill="FFFFFF"/>
        </w:rPr>
        <w:t>　　（四）诚信铜川建设、防范化解重大风险信息公开持续深化。</w:t>
      </w:r>
      <w:r>
        <w:rPr>
          <w:rFonts w:hint="eastAsia" w:ascii="仿宋_GB2312" w:hAnsi="仿宋_GB2312" w:eastAsia="仿宋_GB2312" w:cs="仿宋_GB2312"/>
          <w:color w:val="000000"/>
          <w:sz w:val="32"/>
          <w:szCs w:val="32"/>
          <w:shd w:val="clear" w:fill="FFFFFF"/>
          <w:lang w:eastAsia="zh-CN"/>
        </w:rPr>
        <w:t>基地管委会始终坚持文明办网的原则，大力倡导文明上网行为，在网络上开展了社会主义核心价值观宣传活动，及时回复网民留言，安排专人实时监测涉及管委会的网络舆情，积极回应化解。</w:t>
      </w:r>
      <w:r>
        <w:rPr>
          <w:rFonts w:hint="eastAsia" w:ascii="仿宋_GB2312" w:hAnsi="仿宋_GB2312" w:eastAsia="仿宋_GB2312" w:cs="仿宋_GB2312"/>
          <w:color w:val="000000"/>
          <w:sz w:val="32"/>
          <w:szCs w:val="32"/>
          <w:shd w:val="clear" w:fill="FFFFFF"/>
        </w:rPr>
        <w:br w:type="textWrapping"/>
      </w:r>
      <w:r>
        <w:rPr>
          <w:rFonts w:hint="eastAsia" w:ascii="仿宋_GB2312" w:hAnsi="仿宋_GB2312" w:eastAsia="仿宋_GB2312" w:cs="仿宋_GB2312"/>
          <w:color w:val="000000"/>
          <w:sz w:val="32"/>
          <w:szCs w:val="32"/>
          <w:shd w:val="clear" w:fill="FFFFFF"/>
        </w:rPr>
        <w:t>　　（五）政府网站集约化建设有序推进。</w:t>
      </w:r>
      <w:r>
        <w:rPr>
          <w:rFonts w:hint="eastAsia" w:ascii="仿宋_GB2312" w:hAnsi="仿宋_GB2312" w:eastAsia="仿宋_GB2312" w:cs="仿宋_GB2312"/>
          <w:color w:val="000000"/>
          <w:sz w:val="32"/>
          <w:szCs w:val="32"/>
          <w:shd w:val="clear" w:fill="FFFFFF"/>
          <w:lang w:eastAsia="zh-CN"/>
        </w:rPr>
        <w:t>管委会积极响应</w:t>
      </w:r>
      <w:r>
        <w:rPr>
          <w:rFonts w:hint="eastAsia" w:ascii="仿宋_GB2312" w:hAnsi="仿宋_GB2312" w:eastAsia="仿宋_GB2312" w:cs="仿宋_GB2312"/>
          <w:color w:val="000000"/>
          <w:sz w:val="32"/>
          <w:szCs w:val="32"/>
          <w:shd w:val="clear" w:fill="FFFFFF"/>
        </w:rPr>
        <w:t>《铜川市政府网站集约化平台建设方案》</w:t>
      </w:r>
      <w:r>
        <w:rPr>
          <w:rFonts w:hint="eastAsia" w:ascii="仿宋_GB2312" w:hAnsi="仿宋_GB2312" w:eastAsia="仿宋_GB2312" w:cs="仿宋_GB2312"/>
          <w:color w:val="000000"/>
          <w:sz w:val="32"/>
          <w:szCs w:val="32"/>
          <w:shd w:val="clear" w:fill="FFFFFF"/>
          <w:lang w:eastAsia="zh-CN"/>
        </w:rPr>
        <w:t>要求</w:t>
      </w:r>
      <w:r>
        <w:rPr>
          <w:rFonts w:hint="eastAsia" w:ascii="仿宋_GB2312" w:hAnsi="仿宋_GB2312" w:eastAsia="仿宋_GB2312" w:cs="仿宋_GB2312"/>
          <w:color w:val="000000"/>
          <w:sz w:val="32"/>
          <w:szCs w:val="32"/>
          <w:shd w:val="clear" w:fill="FFFFFF"/>
        </w:rPr>
        <w:t>，</w:t>
      </w:r>
      <w:r>
        <w:rPr>
          <w:rFonts w:hint="eastAsia" w:ascii="仿宋_GB2312" w:hAnsi="仿宋_GB2312" w:eastAsia="仿宋_GB2312" w:cs="仿宋_GB2312"/>
          <w:color w:val="000000"/>
          <w:sz w:val="32"/>
          <w:szCs w:val="32"/>
          <w:shd w:val="clear" w:fill="FFFFFF"/>
          <w:lang w:eastAsia="zh-CN"/>
        </w:rPr>
        <w:t>将管委会政务网站申请关停后并入了市政府网站集约化建设平台，</w:t>
      </w:r>
      <w:r>
        <w:rPr>
          <w:rFonts w:hint="eastAsia" w:ascii="仿宋_GB2312" w:hAnsi="仿宋_GB2312" w:eastAsia="仿宋_GB2312" w:cs="仿宋_GB2312"/>
          <w:color w:val="000000"/>
          <w:sz w:val="32"/>
          <w:szCs w:val="32"/>
          <w:shd w:val="clear" w:fill="FFFFFF"/>
        </w:rPr>
        <w:t>实现</w:t>
      </w:r>
      <w:r>
        <w:rPr>
          <w:rFonts w:hint="eastAsia" w:ascii="仿宋_GB2312" w:hAnsi="仿宋_GB2312" w:eastAsia="仿宋_GB2312" w:cs="仿宋_GB2312"/>
          <w:color w:val="000000"/>
          <w:sz w:val="32"/>
          <w:szCs w:val="32"/>
          <w:shd w:val="clear" w:fill="FFFFFF"/>
          <w:lang w:eastAsia="zh-CN"/>
        </w:rPr>
        <w:t>了</w:t>
      </w:r>
      <w:r>
        <w:rPr>
          <w:rFonts w:hint="eastAsia" w:ascii="仿宋_GB2312" w:hAnsi="仿宋_GB2312" w:eastAsia="仿宋_GB2312" w:cs="仿宋_GB2312"/>
          <w:color w:val="000000"/>
          <w:sz w:val="32"/>
          <w:szCs w:val="32"/>
          <w:shd w:val="clear" w:fill="FFFFFF"/>
        </w:rPr>
        <w:t>资源共享、数据共享，切实提升</w:t>
      </w:r>
      <w:r>
        <w:rPr>
          <w:rFonts w:hint="eastAsia" w:ascii="仿宋_GB2312" w:hAnsi="仿宋_GB2312" w:eastAsia="仿宋_GB2312" w:cs="仿宋_GB2312"/>
          <w:color w:val="000000"/>
          <w:sz w:val="32"/>
          <w:szCs w:val="32"/>
          <w:shd w:val="clear" w:fill="FFFFFF"/>
          <w:lang w:eastAsia="zh-CN"/>
        </w:rPr>
        <w:t>管委会</w:t>
      </w:r>
      <w:r>
        <w:rPr>
          <w:rFonts w:hint="eastAsia" w:ascii="仿宋_GB2312" w:hAnsi="仿宋_GB2312" w:eastAsia="仿宋_GB2312" w:cs="仿宋_GB2312"/>
          <w:color w:val="000000"/>
          <w:sz w:val="32"/>
          <w:szCs w:val="32"/>
          <w:shd w:val="clear" w:fill="FFFFFF"/>
        </w:rPr>
        <w:t xml:space="preserve">网站监管水平。 </w:t>
      </w:r>
      <w:r>
        <w:rPr>
          <w:rFonts w:hint="eastAsia" w:ascii="仿宋_GB2312" w:hAnsi="仿宋_GB2312" w:eastAsia="仿宋_GB2312" w:cs="仿宋_GB2312"/>
          <w:color w:val="000000"/>
          <w:sz w:val="32"/>
          <w:szCs w:val="32"/>
          <w:shd w:val="clear" w:fill="FFFFFF"/>
        </w:rPr>
        <w:br w:type="textWrapping"/>
      </w:r>
      <w:r>
        <w:rPr>
          <w:rFonts w:hint="eastAsia" w:ascii="仿宋_GB2312" w:hAnsi="仿宋_GB2312" w:eastAsia="仿宋_GB2312" w:cs="仿宋_GB2312"/>
          <w:color w:val="000000"/>
          <w:sz w:val="32"/>
          <w:szCs w:val="32"/>
          <w:shd w:val="clear" w:fill="FFFFFF"/>
        </w:rPr>
        <w:t>　　（六）创新公众参与方式。</w:t>
      </w:r>
      <w:r>
        <w:rPr>
          <w:rFonts w:hint="eastAsia" w:ascii="仿宋_GB2312" w:hAnsi="仿宋_GB2312" w:eastAsia="仿宋_GB2312" w:cs="仿宋_GB2312"/>
          <w:color w:val="000000"/>
          <w:sz w:val="32"/>
          <w:szCs w:val="32"/>
          <w:shd w:val="clear" w:fill="FFFFFF"/>
          <w:lang w:eastAsia="zh-CN"/>
        </w:rPr>
        <w:t>管委会充分发挥政务微信公众号的扩散功能，大力提升公众号的关注量，积极引导网民通过在公众号后台留言实现于管委会有效对话。</w:t>
      </w:r>
      <w:r>
        <w:rPr>
          <w:rFonts w:hint="eastAsia" w:ascii="仿宋_GB2312" w:hAnsi="仿宋_GB2312" w:eastAsia="仿宋_GB2312" w:cs="仿宋_GB2312"/>
          <w:color w:val="000000"/>
          <w:sz w:val="32"/>
          <w:szCs w:val="32"/>
          <w:shd w:val="clear" w:fill="FFFFFF"/>
          <w:lang w:val="en-US" w:eastAsia="zh-CN"/>
        </w:rPr>
        <w:t>2020年</w:t>
      </w:r>
      <w:r>
        <w:rPr>
          <w:rFonts w:hint="eastAsia" w:ascii="仿宋_GB2312" w:hAnsi="仿宋_GB2312" w:eastAsia="仿宋_GB2312" w:cs="仿宋_GB2312"/>
          <w:color w:val="000000"/>
          <w:sz w:val="32"/>
          <w:szCs w:val="32"/>
          <w:shd w:val="clear" w:fill="FFFFFF"/>
          <w:lang w:eastAsia="zh-CN"/>
        </w:rPr>
        <w:t>，管委会微信公众号订阅量</w:t>
      </w:r>
      <w:r>
        <w:rPr>
          <w:rFonts w:hint="eastAsia" w:ascii="仿宋_GB2312" w:hAnsi="仿宋_GB2312" w:eastAsia="仿宋_GB2312" w:cs="仿宋_GB2312"/>
          <w:color w:val="000000"/>
          <w:sz w:val="32"/>
          <w:szCs w:val="32"/>
          <w:shd w:val="clear" w:fill="FFFFFF"/>
          <w:lang w:val="en-US" w:eastAsia="zh-CN"/>
        </w:rPr>
        <w:t>提升到了1256。</w:t>
      </w:r>
      <w:r>
        <w:rPr>
          <w:rFonts w:hint="eastAsia" w:ascii="仿宋_GB2312" w:hAnsi="仿宋_GB2312" w:eastAsia="仿宋_GB2312" w:cs="仿宋_GB2312"/>
          <w:color w:val="000000"/>
          <w:sz w:val="32"/>
          <w:szCs w:val="32"/>
          <w:shd w:val="clear" w:fill="FFFFFF"/>
        </w:rPr>
        <w:br w:type="textWrapping"/>
      </w:r>
      <w:r>
        <w:rPr>
          <w:rFonts w:hint="eastAsia" w:ascii="仿宋_GB2312" w:hAnsi="仿宋_GB2312" w:eastAsia="仿宋_GB2312" w:cs="仿宋_GB2312"/>
          <w:color w:val="000000"/>
          <w:sz w:val="32"/>
          <w:szCs w:val="32"/>
          <w:shd w:val="clear" w:fill="FFFFFF"/>
        </w:rPr>
        <w:t>　　（七）拓宽政务公开渠道。围绕</w:t>
      </w:r>
      <w:r>
        <w:rPr>
          <w:rFonts w:hint="eastAsia" w:ascii="仿宋_GB2312" w:hAnsi="仿宋_GB2312" w:eastAsia="仿宋_GB2312" w:cs="仿宋_GB2312"/>
          <w:color w:val="000000"/>
          <w:sz w:val="32"/>
          <w:szCs w:val="32"/>
          <w:shd w:val="clear" w:fill="FFFFFF"/>
          <w:lang w:eastAsia="zh-CN"/>
        </w:rPr>
        <w:t>管委会</w:t>
      </w:r>
      <w:r>
        <w:rPr>
          <w:rFonts w:hint="eastAsia" w:ascii="仿宋_GB2312" w:hAnsi="仿宋_GB2312" w:eastAsia="仿宋_GB2312" w:cs="仿宋_GB2312"/>
          <w:color w:val="000000"/>
          <w:sz w:val="32"/>
          <w:szCs w:val="32"/>
          <w:shd w:val="clear" w:fill="FFFFFF"/>
        </w:rPr>
        <w:t>重大决策部署、经济社会政策等，全年</w:t>
      </w:r>
      <w:r>
        <w:rPr>
          <w:rFonts w:hint="eastAsia" w:ascii="仿宋_GB2312" w:hAnsi="仿宋_GB2312" w:eastAsia="仿宋_GB2312" w:cs="仿宋_GB2312"/>
          <w:color w:val="000000"/>
          <w:sz w:val="32"/>
          <w:szCs w:val="32"/>
          <w:shd w:val="clear" w:fill="FFFFFF"/>
          <w:lang w:eastAsia="zh-CN"/>
        </w:rPr>
        <w:t>接待大型融媒体行</w:t>
      </w:r>
      <w:r>
        <w:rPr>
          <w:rFonts w:hint="eastAsia" w:ascii="仿宋_GB2312" w:hAnsi="仿宋_GB2312" w:eastAsia="仿宋_GB2312" w:cs="仿宋_GB2312"/>
          <w:color w:val="000000"/>
          <w:sz w:val="32"/>
          <w:szCs w:val="32"/>
          <w:shd w:val="clear" w:fill="FFFFFF"/>
          <w:lang w:val="en-US" w:eastAsia="zh-CN"/>
        </w:rPr>
        <w:t>3次</w:t>
      </w:r>
      <w:r>
        <w:rPr>
          <w:rFonts w:hint="eastAsia" w:ascii="仿宋_GB2312" w:hAnsi="仿宋_GB2312" w:eastAsia="仿宋_GB2312" w:cs="仿宋_GB2312"/>
          <w:color w:val="000000"/>
          <w:sz w:val="32"/>
          <w:szCs w:val="32"/>
          <w:shd w:val="clear" w:fill="FFFFFF"/>
        </w:rPr>
        <w:t>，</w:t>
      </w:r>
      <w:r>
        <w:rPr>
          <w:rFonts w:hint="eastAsia" w:ascii="仿宋_GB2312" w:hAnsi="仿宋_GB2312" w:eastAsia="仿宋_GB2312" w:cs="仿宋_GB2312"/>
          <w:color w:val="000000"/>
          <w:sz w:val="32"/>
          <w:szCs w:val="32"/>
          <w:shd w:val="clear" w:fill="FFFFFF"/>
          <w:lang w:eastAsia="zh-CN"/>
        </w:rPr>
        <w:t>就群众关心的基地管委会经济社会事业发展情况予以回应。</w:t>
      </w:r>
      <w:r>
        <w:rPr>
          <w:rFonts w:hint="eastAsia" w:ascii="仿宋_GB2312" w:hAnsi="仿宋_GB2312" w:eastAsia="仿宋_GB2312" w:cs="仿宋_GB2312"/>
          <w:color w:val="000000"/>
          <w:sz w:val="32"/>
          <w:szCs w:val="32"/>
          <w:shd w:val="clear" w:fill="FFFFFF"/>
        </w:rPr>
        <w:t xml:space="preserve"> </w:t>
      </w:r>
      <w:r>
        <w:rPr>
          <w:rFonts w:hint="eastAsia" w:ascii="仿宋_GB2312" w:hAnsi="仿宋_GB2312" w:eastAsia="仿宋_GB2312" w:cs="仿宋_GB2312"/>
          <w:color w:val="000000"/>
          <w:sz w:val="32"/>
          <w:szCs w:val="32"/>
          <w:shd w:val="clear" w:fill="FFFFFF"/>
        </w:rPr>
        <w:br w:type="textWrapping"/>
      </w:r>
      <w:r>
        <w:rPr>
          <w:rFonts w:hint="eastAsia" w:ascii="仿宋_GB2312" w:hAnsi="仿宋_GB2312" w:eastAsia="仿宋_GB2312" w:cs="仿宋_GB2312"/>
          <w:color w:val="000000"/>
          <w:sz w:val="32"/>
          <w:szCs w:val="32"/>
          <w:shd w:val="clear" w:fill="FFFFFF"/>
        </w:rPr>
        <w:t>　　（八）完善监督保障机制。组织</w:t>
      </w:r>
      <w:r>
        <w:rPr>
          <w:rFonts w:hint="eastAsia" w:ascii="仿宋_GB2312" w:hAnsi="仿宋_GB2312" w:eastAsia="仿宋_GB2312" w:cs="仿宋_GB2312"/>
          <w:color w:val="000000"/>
          <w:sz w:val="32"/>
          <w:szCs w:val="32"/>
          <w:shd w:val="clear" w:fill="FFFFFF"/>
          <w:lang w:eastAsia="zh-CN"/>
        </w:rPr>
        <w:t>管委会全体干部学习</w:t>
      </w:r>
      <w:r>
        <w:rPr>
          <w:rFonts w:hint="eastAsia" w:ascii="仿宋_GB2312" w:hAnsi="仿宋_GB2312" w:eastAsia="仿宋_GB2312" w:cs="仿宋_GB2312"/>
          <w:color w:val="000000"/>
          <w:sz w:val="32"/>
          <w:szCs w:val="32"/>
          <w:shd w:val="clear" w:fill="FFFFFF"/>
        </w:rPr>
        <w:t>了《政府信息公开条例》</w:t>
      </w:r>
      <w:r>
        <w:rPr>
          <w:rFonts w:hint="eastAsia" w:ascii="仿宋_GB2312" w:hAnsi="仿宋_GB2312" w:eastAsia="仿宋_GB2312" w:cs="仿宋_GB2312"/>
          <w:color w:val="000000"/>
          <w:sz w:val="32"/>
          <w:szCs w:val="32"/>
          <w:shd w:val="clear" w:fill="FFFFFF"/>
          <w:lang w:eastAsia="zh-CN"/>
        </w:rPr>
        <w:t>，定期召开</w:t>
      </w:r>
      <w:r>
        <w:rPr>
          <w:rFonts w:hint="eastAsia" w:ascii="仿宋_GB2312" w:hAnsi="仿宋_GB2312" w:eastAsia="仿宋_GB2312" w:cs="仿宋_GB2312"/>
          <w:color w:val="000000"/>
          <w:sz w:val="32"/>
          <w:szCs w:val="32"/>
          <w:shd w:val="clear" w:fill="FFFFFF"/>
        </w:rPr>
        <w:t>政务公开工作推进会议，</w:t>
      </w:r>
      <w:r>
        <w:rPr>
          <w:rFonts w:hint="eastAsia" w:ascii="仿宋_GB2312" w:hAnsi="仿宋_GB2312" w:eastAsia="仿宋_GB2312" w:cs="仿宋_GB2312"/>
          <w:color w:val="000000"/>
          <w:sz w:val="32"/>
          <w:szCs w:val="32"/>
          <w:shd w:val="clear" w:fill="FFFFFF"/>
          <w:lang w:eastAsia="zh-CN"/>
        </w:rPr>
        <w:t>积极参加全市政务公开相关培训。安排专人负责政务公开工作，每季度进行自查自纠，及时发现问题并加以改正。</w:t>
      </w:r>
      <w:r>
        <w:rPr>
          <w:rFonts w:hint="eastAsia" w:ascii="仿宋_GB2312" w:hAnsi="仿宋_GB2312" w:eastAsia="仿宋_GB2312" w:cs="仿宋_GB2312"/>
          <w:color w:val="000000"/>
          <w:sz w:val="32"/>
          <w:szCs w:val="32"/>
          <w:shd w:val="clear" w:fill="FFFFFF"/>
        </w:rPr>
        <w:br w:type="textWrapping"/>
      </w:r>
      <w:r>
        <w:rPr>
          <w:rFonts w:hint="eastAsia" w:ascii="仿宋_GB2312" w:hAnsi="仿宋_GB2312" w:eastAsia="仿宋_GB2312" w:cs="仿宋_GB2312"/>
          <w:color w:val="000000"/>
          <w:sz w:val="32"/>
          <w:szCs w:val="32"/>
          <w:shd w:val="clear" w:fill="FFFFFF"/>
        </w:rPr>
        <w:t>　　（九）人大代表建议、政协提案办理结果公开情况。办理</w:t>
      </w:r>
      <w:r>
        <w:rPr>
          <w:rFonts w:hint="eastAsia" w:ascii="仿宋_GB2312" w:hAnsi="仿宋_GB2312" w:eastAsia="仿宋_GB2312" w:cs="仿宋_GB2312"/>
          <w:color w:val="000000"/>
          <w:sz w:val="32"/>
          <w:szCs w:val="32"/>
          <w:shd w:val="clear" w:fill="FFFFFF"/>
          <w:lang w:eastAsia="zh-CN"/>
        </w:rPr>
        <w:t>人大代表建议</w:t>
      </w:r>
      <w:r>
        <w:rPr>
          <w:rFonts w:hint="eastAsia" w:ascii="仿宋_GB2312" w:hAnsi="仿宋_GB2312" w:eastAsia="仿宋_GB2312" w:cs="仿宋_GB2312"/>
          <w:color w:val="000000"/>
          <w:sz w:val="32"/>
          <w:szCs w:val="32"/>
          <w:shd w:val="clear" w:fill="FFFFFF"/>
          <w:lang w:val="en-US" w:eastAsia="zh-CN"/>
        </w:rPr>
        <w:t>2件，</w:t>
      </w:r>
      <w:r>
        <w:rPr>
          <w:rFonts w:hint="eastAsia" w:ascii="仿宋_GB2312" w:hAnsi="仿宋_GB2312" w:eastAsia="仿宋_GB2312" w:cs="仿宋_GB2312"/>
          <w:color w:val="000000"/>
          <w:sz w:val="32"/>
          <w:szCs w:val="32"/>
          <w:shd w:val="clear" w:fill="FFFFFF"/>
        </w:rPr>
        <w:t>政协提案</w:t>
      </w:r>
      <w:r>
        <w:rPr>
          <w:rFonts w:hint="eastAsia" w:ascii="仿宋_GB2312" w:hAnsi="仿宋_GB2312" w:eastAsia="仿宋_GB2312" w:cs="仿宋_GB2312"/>
          <w:color w:val="000000"/>
          <w:sz w:val="32"/>
          <w:szCs w:val="32"/>
          <w:shd w:val="clear" w:fill="FFFFFF"/>
          <w:lang w:val="en-US" w:eastAsia="zh-CN"/>
        </w:rPr>
        <w:t>2</w:t>
      </w:r>
      <w:r>
        <w:rPr>
          <w:rFonts w:hint="eastAsia" w:ascii="仿宋_GB2312" w:hAnsi="仿宋_GB2312" w:eastAsia="仿宋_GB2312" w:cs="仿宋_GB2312"/>
          <w:color w:val="000000"/>
          <w:sz w:val="32"/>
          <w:szCs w:val="32"/>
          <w:shd w:val="clear" w:fill="FFFFFF"/>
        </w:rPr>
        <w:t>件，均已按期办结，办理结果按要求在市政府门户网站予以公开。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color w:val="000000"/>
          <w:sz w:val="32"/>
          <w:szCs w:val="32"/>
          <w:shd w:val="clear" w:fill="FFFFFF"/>
        </w:rPr>
      </w:pPr>
      <w:r>
        <w:rPr>
          <w:rFonts w:hint="eastAsia" w:ascii="黑体" w:hAnsi="黑体" w:eastAsia="黑体" w:cs="黑体"/>
          <w:b w:val="0"/>
          <w:bCs/>
          <w:color w:val="000000"/>
          <w:sz w:val="32"/>
          <w:szCs w:val="32"/>
          <w:shd w:val="clear" w:fill="FFFFFF"/>
        </w:rPr>
        <w:t>二、主动公开政府信息情况</w:t>
      </w:r>
    </w:p>
    <w:tbl>
      <w:tblPr>
        <w:tblStyle w:val="4"/>
        <w:tblW w:w="856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119"/>
        <w:gridCol w:w="2164"/>
        <w:gridCol w:w="2301"/>
        <w:gridCol w:w="19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4" w:hRule="atLeast"/>
          <w:tblCellSpacing w:w="0" w:type="dxa"/>
          <w:jc w:val="center"/>
        </w:trPr>
        <w:tc>
          <w:tcPr>
            <w:tcW w:w="8560" w:type="dxa"/>
            <w:gridSpan w:val="4"/>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第二十条第（一）项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1" w:hRule="atLeast"/>
          <w:tblCellSpacing w:w="0" w:type="dxa"/>
          <w:jc w:val="center"/>
        </w:trPr>
        <w:tc>
          <w:tcPr>
            <w:tcW w:w="21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信息内容 </w:t>
            </w:r>
          </w:p>
        </w:tc>
        <w:tc>
          <w:tcPr>
            <w:tcW w:w="2164"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本年新制作数量 </w:t>
            </w:r>
          </w:p>
        </w:tc>
        <w:tc>
          <w:tcPr>
            <w:tcW w:w="2301"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本年新公开数量 </w:t>
            </w:r>
          </w:p>
        </w:tc>
        <w:tc>
          <w:tcPr>
            <w:tcW w:w="197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对外公开总数量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1" w:hRule="atLeast"/>
          <w:tblCellSpacing w:w="0" w:type="dxa"/>
          <w:jc w:val="center"/>
        </w:trPr>
        <w:tc>
          <w:tcPr>
            <w:tcW w:w="21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规章 </w:t>
            </w:r>
          </w:p>
        </w:tc>
        <w:tc>
          <w:tcPr>
            <w:tcW w:w="2164"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2301"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197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1" w:hRule="atLeast"/>
          <w:tblCellSpacing w:w="0" w:type="dxa"/>
          <w:jc w:val="center"/>
        </w:trPr>
        <w:tc>
          <w:tcPr>
            <w:tcW w:w="21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规范性文件 </w:t>
            </w:r>
          </w:p>
        </w:tc>
        <w:tc>
          <w:tcPr>
            <w:tcW w:w="2164"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2301"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197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1" w:hRule="atLeast"/>
          <w:tblCellSpacing w:w="0" w:type="dxa"/>
          <w:jc w:val="center"/>
        </w:trPr>
        <w:tc>
          <w:tcPr>
            <w:tcW w:w="8560" w:type="dxa"/>
            <w:gridSpan w:val="4"/>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第二十条第（五）项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1" w:hRule="atLeast"/>
          <w:tblCellSpacing w:w="0" w:type="dxa"/>
          <w:jc w:val="center"/>
        </w:trPr>
        <w:tc>
          <w:tcPr>
            <w:tcW w:w="21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信息内容 </w:t>
            </w:r>
          </w:p>
        </w:tc>
        <w:tc>
          <w:tcPr>
            <w:tcW w:w="2164"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上一年项目数量 </w:t>
            </w:r>
          </w:p>
        </w:tc>
        <w:tc>
          <w:tcPr>
            <w:tcW w:w="2301"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本年增/减 </w:t>
            </w:r>
          </w:p>
        </w:tc>
        <w:tc>
          <w:tcPr>
            <w:tcW w:w="197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处理决定数量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1" w:hRule="atLeast"/>
          <w:tblCellSpacing w:w="0" w:type="dxa"/>
          <w:jc w:val="center"/>
        </w:trPr>
        <w:tc>
          <w:tcPr>
            <w:tcW w:w="21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行政许可 </w:t>
            </w:r>
          </w:p>
        </w:tc>
        <w:tc>
          <w:tcPr>
            <w:tcW w:w="2164"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eastAsiaTheme="minorEastAsia"/>
                <w:lang w:eastAsia="zh-CN"/>
              </w:rPr>
            </w:pPr>
            <w:r>
              <w:rPr>
                <w:rFonts w:hint="eastAsia"/>
                <w:sz w:val="15"/>
                <w:szCs w:val="15"/>
                <w:lang w:val="en-US" w:eastAsia="zh-CN"/>
              </w:rPr>
              <w:t>0</w:t>
            </w:r>
          </w:p>
        </w:tc>
        <w:tc>
          <w:tcPr>
            <w:tcW w:w="2301"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eastAsiaTheme="minorEastAsia"/>
                <w:lang w:eastAsia="zh-CN"/>
              </w:rPr>
            </w:pPr>
            <w:r>
              <w:rPr>
                <w:rFonts w:hint="eastAsia"/>
                <w:sz w:val="15"/>
                <w:szCs w:val="15"/>
                <w:lang w:val="en-US" w:eastAsia="zh-CN"/>
              </w:rPr>
              <w:t>0</w:t>
            </w:r>
          </w:p>
        </w:tc>
        <w:tc>
          <w:tcPr>
            <w:tcW w:w="197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1" w:hRule="atLeast"/>
          <w:tblCellSpacing w:w="0" w:type="dxa"/>
          <w:jc w:val="center"/>
        </w:trPr>
        <w:tc>
          <w:tcPr>
            <w:tcW w:w="21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其他对外管理服务事项 </w:t>
            </w:r>
          </w:p>
        </w:tc>
        <w:tc>
          <w:tcPr>
            <w:tcW w:w="2164"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2301"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197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1" w:hRule="atLeast"/>
          <w:tblCellSpacing w:w="0" w:type="dxa"/>
          <w:jc w:val="center"/>
        </w:trPr>
        <w:tc>
          <w:tcPr>
            <w:tcW w:w="8560" w:type="dxa"/>
            <w:gridSpan w:val="4"/>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第二十条第（六）项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1" w:hRule="atLeast"/>
          <w:tblCellSpacing w:w="0" w:type="dxa"/>
          <w:jc w:val="center"/>
        </w:trPr>
        <w:tc>
          <w:tcPr>
            <w:tcW w:w="21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信息内容 </w:t>
            </w:r>
          </w:p>
        </w:tc>
        <w:tc>
          <w:tcPr>
            <w:tcW w:w="2164"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上一年项目数量 </w:t>
            </w:r>
          </w:p>
        </w:tc>
        <w:tc>
          <w:tcPr>
            <w:tcW w:w="2301"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本年增/减 </w:t>
            </w:r>
          </w:p>
        </w:tc>
        <w:tc>
          <w:tcPr>
            <w:tcW w:w="197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处理决定数量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1" w:hRule="atLeast"/>
          <w:tblCellSpacing w:w="0" w:type="dxa"/>
          <w:jc w:val="center"/>
        </w:trPr>
        <w:tc>
          <w:tcPr>
            <w:tcW w:w="21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行政处罚 </w:t>
            </w:r>
          </w:p>
        </w:tc>
        <w:tc>
          <w:tcPr>
            <w:tcW w:w="2164"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2301"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197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1" w:hRule="atLeast"/>
          <w:tblCellSpacing w:w="0" w:type="dxa"/>
          <w:jc w:val="center"/>
        </w:trPr>
        <w:tc>
          <w:tcPr>
            <w:tcW w:w="21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行政强制 </w:t>
            </w:r>
          </w:p>
        </w:tc>
        <w:tc>
          <w:tcPr>
            <w:tcW w:w="2164"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2301"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197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1" w:hRule="atLeast"/>
          <w:tblCellSpacing w:w="0" w:type="dxa"/>
          <w:jc w:val="center"/>
        </w:trPr>
        <w:tc>
          <w:tcPr>
            <w:tcW w:w="8560" w:type="dxa"/>
            <w:gridSpan w:val="4"/>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第二十条第（八）项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1" w:hRule="atLeast"/>
          <w:tblCellSpacing w:w="0" w:type="dxa"/>
          <w:jc w:val="center"/>
        </w:trPr>
        <w:tc>
          <w:tcPr>
            <w:tcW w:w="21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信息内容 </w:t>
            </w:r>
          </w:p>
        </w:tc>
        <w:tc>
          <w:tcPr>
            <w:tcW w:w="2164"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上一年项目数量 </w:t>
            </w:r>
          </w:p>
        </w:tc>
        <w:tc>
          <w:tcPr>
            <w:tcW w:w="4277" w:type="dxa"/>
            <w:gridSpan w:val="2"/>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本年增/减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1" w:hRule="atLeast"/>
          <w:tblCellSpacing w:w="0" w:type="dxa"/>
          <w:jc w:val="center"/>
        </w:trPr>
        <w:tc>
          <w:tcPr>
            <w:tcW w:w="21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行政事业性收费 </w:t>
            </w:r>
          </w:p>
        </w:tc>
        <w:tc>
          <w:tcPr>
            <w:tcW w:w="2164"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4277" w:type="dxa"/>
            <w:gridSpan w:val="2"/>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1" w:hRule="atLeast"/>
          <w:tblCellSpacing w:w="0" w:type="dxa"/>
          <w:jc w:val="center"/>
        </w:trPr>
        <w:tc>
          <w:tcPr>
            <w:tcW w:w="8560" w:type="dxa"/>
            <w:gridSpan w:val="4"/>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第二十条第（九）项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1" w:hRule="atLeast"/>
          <w:tblCellSpacing w:w="0" w:type="dxa"/>
          <w:jc w:val="center"/>
        </w:trPr>
        <w:tc>
          <w:tcPr>
            <w:tcW w:w="21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信息内容 </w:t>
            </w:r>
          </w:p>
        </w:tc>
        <w:tc>
          <w:tcPr>
            <w:tcW w:w="2164"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采购项目数量 </w:t>
            </w:r>
          </w:p>
        </w:tc>
        <w:tc>
          <w:tcPr>
            <w:tcW w:w="4277" w:type="dxa"/>
            <w:gridSpan w:val="2"/>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采购总金额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54" w:hRule="atLeast"/>
          <w:tblCellSpacing w:w="0" w:type="dxa"/>
          <w:jc w:val="center"/>
        </w:trPr>
        <w:tc>
          <w:tcPr>
            <w:tcW w:w="21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政府集中釆购 </w:t>
            </w:r>
          </w:p>
        </w:tc>
        <w:tc>
          <w:tcPr>
            <w:tcW w:w="2164"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eastAsiaTheme="minorEastAsia"/>
                <w:lang w:eastAsia="zh-CN"/>
              </w:rPr>
            </w:pPr>
            <w:r>
              <w:rPr>
                <w:rFonts w:hint="eastAsia"/>
                <w:sz w:val="15"/>
                <w:szCs w:val="15"/>
                <w:lang w:val="en-US" w:eastAsia="zh-CN"/>
              </w:rPr>
              <w:t>0</w:t>
            </w:r>
          </w:p>
        </w:tc>
        <w:tc>
          <w:tcPr>
            <w:tcW w:w="4277" w:type="dxa"/>
            <w:gridSpan w:val="2"/>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eastAsiaTheme="minorEastAsia"/>
                <w:lang w:eastAsia="zh-CN"/>
              </w:rPr>
            </w:pPr>
            <w:r>
              <w:rPr>
                <w:rFonts w:hint="eastAsia"/>
                <w:sz w:val="15"/>
                <w:szCs w:val="15"/>
                <w:lang w:val="en-US" w:eastAsia="zh-CN"/>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pPr>
      <w:r>
        <w:rPr>
          <w:rFonts w:hint="eastAsia" w:ascii="黑体" w:hAnsi="黑体" w:eastAsia="黑体" w:cs="黑体"/>
          <w:b w:val="0"/>
          <w:bCs/>
          <w:color w:val="000000"/>
          <w:sz w:val="32"/>
          <w:szCs w:val="32"/>
          <w:shd w:val="clear" w:fill="FFFFFF"/>
        </w:rPr>
        <w:t>三、收到和处理政府信息公开申请情况</w:t>
      </w:r>
    </w:p>
    <w:tbl>
      <w:tblPr>
        <w:tblStyle w:val="4"/>
        <w:tblW w:w="8519"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01"/>
        <w:gridCol w:w="1441"/>
        <w:gridCol w:w="2606"/>
        <w:gridCol w:w="657"/>
        <w:gridCol w:w="532"/>
        <w:gridCol w:w="532"/>
        <w:gridCol w:w="520"/>
        <w:gridCol w:w="532"/>
        <w:gridCol w:w="519"/>
        <w:gridCol w:w="47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0" w:hRule="atLeast"/>
          <w:tblCellSpacing w:w="0" w:type="dxa"/>
          <w:jc w:val="center"/>
        </w:trPr>
        <w:tc>
          <w:tcPr>
            <w:tcW w:w="4748" w:type="dxa"/>
            <w:gridSpan w:val="3"/>
            <w:vMerge w:val="restart"/>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（本列数据的勾稽关系为：第一项加第二项之和，等于第三项加第四项之和） </w:t>
            </w:r>
          </w:p>
        </w:tc>
        <w:tc>
          <w:tcPr>
            <w:tcW w:w="3771" w:type="dxa"/>
            <w:gridSpan w:val="7"/>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申请人情况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2" w:hRule="atLeast"/>
          <w:tblCellSpacing w:w="0" w:type="dxa"/>
          <w:jc w:val="center"/>
        </w:trPr>
        <w:tc>
          <w:tcPr>
            <w:tcW w:w="4748" w:type="dxa"/>
            <w:gridSpan w:val="3"/>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657" w:type="dxa"/>
            <w:vMerge w:val="restart"/>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自然人 </w:t>
            </w:r>
          </w:p>
        </w:tc>
        <w:tc>
          <w:tcPr>
            <w:tcW w:w="2635" w:type="dxa"/>
            <w:gridSpan w:val="5"/>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法人或其他组织 </w:t>
            </w:r>
          </w:p>
        </w:tc>
        <w:tc>
          <w:tcPr>
            <w:tcW w:w="479" w:type="dxa"/>
            <w:vMerge w:val="restart"/>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总计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36" w:hRule="atLeast"/>
          <w:tblCellSpacing w:w="0" w:type="dxa"/>
          <w:jc w:val="center"/>
        </w:trPr>
        <w:tc>
          <w:tcPr>
            <w:tcW w:w="4748" w:type="dxa"/>
            <w:gridSpan w:val="3"/>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65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商业 企业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科研 机构 </w:t>
            </w:r>
          </w:p>
        </w:tc>
        <w:tc>
          <w:tcPr>
            <w:tcW w:w="520"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社会 公益 组织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法律 服务 机构 </w:t>
            </w:r>
          </w:p>
        </w:tc>
        <w:tc>
          <w:tcPr>
            <w:tcW w:w="5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其他 </w:t>
            </w:r>
          </w:p>
        </w:tc>
        <w:tc>
          <w:tcPr>
            <w:tcW w:w="47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2" w:hRule="atLeast"/>
          <w:tblCellSpacing w:w="0" w:type="dxa"/>
          <w:jc w:val="center"/>
        </w:trPr>
        <w:tc>
          <w:tcPr>
            <w:tcW w:w="4748" w:type="dxa"/>
            <w:gridSpan w:val="3"/>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一、本年新收政府信息公开申请数量 </w:t>
            </w:r>
          </w:p>
        </w:tc>
        <w:tc>
          <w:tcPr>
            <w:tcW w:w="657"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eastAsiaTheme="minorEastAsia"/>
                <w:lang w:eastAsia="zh-CN"/>
              </w:rPr>
            </w:pPr>
            <w:r>
              <w:rPr>
                <w:rFonts w:hint="eastAsia"/>
                <w:sz w:val="15"/>
                <w:szCs w:val="15"/>
                <w:lang w:val="en-US" w:eastAsia="zh-CN"/>
              </w:rPr>
              <w:t>2</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20"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47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eastAsiaTheme="minorEastAsia"/>
                <w:lang w:eastAsia="zh-CN"/>
              </w:rPr>
            </w:pPr>
            <w:r>
              <w:rPr>
                <w:rFonts w:hint="eastAsia"/>
                <w:sz w:val="15"/>
                <w:szCs w:val="15"/>
                <w:lang w:val="en-US" w:eastAsia="zh-CN"/>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02" w:hRule="atLeast"/>
          <w:tblCellSpacing w:w="0" w:type="dxa"/>
          <w:jc w:val="center"/>
        </w:trPr>
        <w:tc>
          <w:tcPr>
            <w:tcW w:w="4748" w:type="dxa"/>
            <w:gridSpan w:val="3"/>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二、上年结转政府信息公开申请数量 </w:t>
            </w:r>
          </w:p>
        </w:tc>
        <w:tc>
          <w:tcPr>
            <w:tcW w:w="657"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20"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47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2" w:hRule="atLeast"/>
          <w:tblCellSpacing w:w="0" w:type="dxa"/>
          <w:jc w:val="center"/>
        </w:trPr>
        <w:tc>
          <w:tcPr>
            <w:tcW w:w="701" w:type="dxa"/>
            <w:vMerge w:val="restart"/>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三、本年度办理结果 </w:t>
            </w:r>
          </w:p>
        </w:tc>
        <w:tc>
          <w:tcPr>
            <w:tcW w:w="4047" w:type="dxa"/>
            <w:gridSpan w:val="2"/>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（一）予以公开 </w:t>
            </w:r>
          </w:p>
        </w:tc>
        <w:tc>
          <w:tcPr>
            <w:tcW w:w="657"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eastAsiaTheme="minorEastAsia"/>
                <w:lang w:eastAsia="zh-CN"/>
              </w:rPr>
            </w:pPr>
            <w:r>
              <w:rPr>
                <w:rFonts w:hint="eastAsia"/>
                <w:sz w:val="15"/>
                <w:szCs w:val="15"/>
                <w:lang w:val="en-US" w:eastAsia="zh-CN"/>
              </w:rPr>
              <w:t>2</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20"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47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eastAsiaTheme="minorEastAsia"/>
                <w:lang w:eastAsia="zh-CN"/>
              </w:rPr>
            </w:pPr>
            <w:r>
              <w:rPr>
                <w:rFonts w:hint="eastAsia"/>
                <w:sz w:val="15"/>
                <w:szCs w:val="15"/>
                <w:lang w:val="en-US" w:eastAsia="zh-CN"/>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2" w:hRule="atLeast"/>
          <w:tblCellSpacing w:w="0" w:type="dxa"/>
          <w:jc w:val="center"/>
        </w:trPr>
        <w:tc>
          <w:tcPr>
            <w:tcW w:w="70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4047" w:type="dxa"/>
            <w:gridSpan w:val="2"/>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（二）部分公开（区分处理的，只计这一情形，不计其他情形） </w:t>
            </w:r>
          </w:p>
        </w:tc>
        <w:tc>
          <w:tcPr>
            <w:tcW w:w="657"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20"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47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02" w:hRule="atLeast"/>
          <w:tblCellSpacing w:w="0" w:type="dxa"/>
          <w:jc w:val="center"/>
        </w:trPr>
        <w:tc>
          <w:tcPr>
            <w:tcW w:w="70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1441" w:type="dxa"/>
            <w:vMerge w:val="restart"/>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（三）不予公开 </w:t>
            </w:r>
          </w:p>
        </w:tc>
        <w:tc>
          <w:tcPr>
            <w:tcW w:w="260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1.属于国家秘密 </w:t>
            </w:r>
          </w:p>
        </w:tc>
        <w:tc>
          <w:tcPr>
            <w:tcW w:w="657"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20"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47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02" w:hRule="atLeast"/>
          <w:tblCellSpacing w:w="0" w:type="dxa"/>
          <w:jc w:val="center"/>
        </w:trPr>
        <w:tc>
          <w:tcPr>
            <w:tcW w:w="70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144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260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2.其他法律行政法规禁止公开 </w:t>
            </w:r>
          </w:p>
        </w:tc>
        <w:tc>
          <w:tcPr>
            <w:tcW w:w="657"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20"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47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02" w:hRule="atLeast"/>
          <w:tblCellSpacing w:w="0" w:type="dxa"/>
          <w:jc w:val="center"/>
        </w:trPr>
        <w:tc>
          <w:tcPr>
            <w:tcW w:w="70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144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260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3.危及“三安全一稳定” </w:t>
            </w:r>
          </w:p>
        </w:tc>
        <w:tc>
          <w:tcPr>
            <w:tcW w:w="657"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20"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47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02" w:hRule="atLeast"/>
          <w:tblCellSpacing w:w="0" w:type="dxa"/>
          <w:jc w:val="center"/>
        </w:trPr>
        <w:tc>
          <w:tcPr>
            <w:tcW w:w="70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144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260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4.保护第三方合法权益 </w:t>
            </w:r>
          </w:p>
        </w:tc>
        <w:tc>
          <w:tcPr>
            <w:tcW w:w="657"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20"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47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2" w:hRule="atLeast"/>
          <w:tblCellSpacing w:w="0" w:type="dxa"/>
          <w:jc w:val="center"/>
        </w:trPr>
        <w:tc>
          <w:tcPr>
            <w:tcW w:w="70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144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260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5.属于三类内部事务信息 </w:t>
            </w:r>
          </w:p>
        </w:tc>
        <w:tc>
          <w:tcPr>
            <w:tcW w:w="657"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20"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47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02" w:hRule="atLeast"/>
          <w:tblCellSpacing w:w="0" w:type="dxa"/>
          <w:jc w:val="center"/>
        </w:trPr>
        <w:tc>
          <w:tcPr>
            <w:tcW w:w="70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144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260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6.属于四类过程性信息 </w:t>
            </w:r>
          </w:p>
        </w:tc>
        <w:tc>
          <w:tcPr>
            <w:tcW w:w="657"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20"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47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2" w:hRule="atLeast"/>
          <w:tblCellSpacing w:w="0" w:type="dxa"/>
          <w:jc w:val="center"/>
        </w:trPr>
        <w:tc>
          <w:tcPr>
            <w:tcW w:w="70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144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260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7.属于行政执法案卷 </w:t>
            </w:r>
          </w:p>
        </w:tc>
        <w:tc>
          <w:tcPr>
            <w:tcW w:w="657"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20"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47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502" w:hRule="atLeast"/>
          <w:tblCellSpacing w:w="0" w:type="dxa"/>
          <w:jc w:val="center"/>
        </w:trPr>
        <w:tc>
          <w:tcPr>
            <w:tcW w:w="70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144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260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8.属于行政查询事项 </w:t>
            </w:r>
          </w:p>
        </w:tc>
        <w:tc>
          <w:tcPr>
            <w:tcW w:w="657"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20"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47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2" w:hRule="atLeast"/>
          <w:tblCellSpacing w:w="0" w:type="dxa"/>
          <w:jc w:val="center"/>
        </w:trPr>
        <w:tc>
          <w:tcPr>
            <w:tcW w:w="70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1441" w:type="dxa"/>
            <w:vMerge w:val="restart"/>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（四）无法提供 </w:t>
            </w:r>
          </w:p>
        </w:tc>
        <w:tc>
          <w:tcPr>
            <w:tcW w:w="260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1.本机关不掌握相关政府信息 </w:t>
            </w:r>
          </w:p>
        </w:tc>
        <w:tc>
          <w:tcPr>
            <w:tcW w:w="657"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eastAsiaTheme="minorEastAsia"/>
                <w:lang w:eastAsia="zh-CN"/>
              </w:rPr>
            </w:pPr>
            <w:r>
              <w:rPr>
                <w:rFonts w:hint="eastAsia"/>
                <w:sz w:val="15"/>
                <w:szCs w:val="15"/>
                <w:lang w:val="en-US" w:eastAsia="zh-CN"/>
              </w:rPr>
              <w:t>0</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20"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47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eastAsiaTheme="minorEastAsia"/>
                <w:lang w:eastAsia="zh-CN"/>
              </w:rPr>
            </w:pPr>
            <w:r>
              <w:rPr>
                <w:rFonts w:hint="eastAsia"/>
                <w:sz w:val="15"/>
                <w:szCs w:val="15"/>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02" w:hRule="atLeast"/>
          <w:tblCellSpacing w:w="0" w:type="dxa"/>
          <w:jc w:val="center"/>
        </w:trPr>
        <w:tc>
          <w:tcPr>
            <w:tcW w:w="70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144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260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2.没有现成信息需要另行制作 </w:t>
            </w:r>
          </w:p>
        </w:tc>
        <w:tc>
          <w:tcPr>
            <w:tcW w:w="657"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eastAsiaTheme="minorEastAsia"/>
                <w:lang w:eastAsia="zh-CN"/>
              </w:rPr>
            </w:pPr>
            <w:r>
              <w:rPr>
                <w:rFonts w:hint="eastAsia"/>
                <w:sz w:val="15"/>
                <w:szCs w:val="15"/>
                <w:lang w:val="en-US" w:eastAsia="zh-CN"/>
              </w:rPr>
              <w:t>0</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20"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47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eastAsiaTheme="minorEastAsia"/>
                <w:lang w:eastAsia="zh-CN"/>
              </w:rPr>
            </w:pPr>
            <w:r>
              <w:rPr>
                <w:rFonts w:hint="eastAsia"/>
                <w:sz w:val="15"/>
                <w:szCs w:val="15"/>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2" w:hRule="atLeast"/>
          <w:tblCellSpacing w:w="0" w:type="dxa"/>
          <w:jc w:val="center"/>
        </w:trPr>
        <w:tc>
          <w:tcPr>
            <w:tcW w:w="70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144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260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3.补正后申请内容仍不明确 </w:t>
            </w:r>
          </w:p>
        </w:tc>
        <w:tc>
          <w:tcPr>
            <w:tcW w:w="657"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20"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47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02" w:hRule="atLeast"/>
          <w:tblCellSpacing w:w="0" w:type="dxa"/>
          <w:jc w:val="center"/>
        </w:trPr>
        <w:tc>
          <w:tcPr>
            <w:tcW w:w="70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1441" w:type="dxa"/>
            <w:vMerge w:val="restart"/>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（五）不予处理 </w:t>
            </w:r>
          </w:p>
        </w:tc>
        <w:tc>
          <w:tcPr>
            <w:tcW w:w="260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1.信访举报投诉类申请 </w:t>
            </w:r>
          </w:p>
        </w:tc>
        <w:tc>
          <w:tcPr>
            <w:tcW w:w="657"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20"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47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2" w:hRule="atLeast"/>
          <w:tblCellSpacing w:w="0" w:type="dxa"/>
          <w:jc w:val="center"/>
        </w:trPr>
        <w:tc>
          <w:tcPr>
            <w:tcW w:w="70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144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260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2.重复申请 </w:t>
            </w:r>
          </w:p>
        </w:tc>
        <w:tc>
          <w:tcPr>
            <w:tcW w:w="657"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20"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47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2" w:hRule="atLeast"/>
          <w:tblCellSpacing w:w="0" w:type="dxa"/>
          <w:jc w:val="center"/>
        </w:trPr>
        <w:tc>
          <w:tcPr>
            <w:tcW w:w="70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144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260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3.要求提供公开出版物 </w:t>
            </w:r>
          </w:p>
        </w:tc>
        <w:tc>
          <w:tcPr>
            <w:tcW w:w="657"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20"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47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2" w:hRule="atLeast"/>
          <w:tblCellSpacing w:w="0" w:type="dxa"/>
          <w:jc w:val="center"/>
        </w:trPr>
        <w:tc>
          <w:tcPr>
            <w:tcW w:w="70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144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260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4.无正当理由大量反复申请 </w:t>
            </w:r>
          </w:p>
        </w:tc>
        <w:tc>
          <w:tcPr>
            <w:tcW w:w="657"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20"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47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30" w:hRule="atLeast"/>
          <w:tblCellSpacing w:w="0" w:type="dxa"/>
          <w:jc w:val="center"/>
        </w:trPr>
        <w:tc>
          <w:tcPr>
            <w:tcW w:w="70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144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260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5.要求行政机关确认或重新出具已获取信息 </w:t>
            </w:r>
          </w:p>
        </w:tc>
        <w:tc>
          <w:tcPr>
            <w:tcW w:w="657"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20"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47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2" w:hRule="atLeast"/>
          <w:tblCellSpacing w:w="0" w:type="dxa"/>
          <w:jc w:val="center"/>
        </w:trPr>
        <w:tc>
          <w:tcPr>
            <w:tcW w:w="70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4047" w:type="dxa"/>
            <w:gridSpan w:val="2"/>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（六）其他处理 </w:t>
            </w:r>
          </w:p>
        </w:tc>
        <w:tc>
          <w:tcPr>
            <w:tcW w:w="657"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eastAsiaTheme="minorEastAsia"/>
                <w:lang w:eastAsia="zh-CN"/>
              </w:rPr>
            </w:pPr>
            <w:r>
              <w:rPr>
                <w:rFonts w:hint="eastAsia"/>
                <w:sz w:val="15"/>
                <w:szCs w:val="15"/>
                <w:lang w:val="en-US" w:eastAsia="zh-CN"/>
              </w:rPr>
              <w:t>0</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20"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47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eastAsiaTheme="minorEastAsia"/>
                <w:lang w:eastAsia="zh-CN"/>
              </w:rPr>
            </w:pPr>
            <w:r>
              <w:rPr>
                <w:rFonts w:hint="eastAsia"/>
                <w:sz w:val="15"/>
                <w:szCs w:val="15"/>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02" w:hRule="atLeast"/>
          <w:tblCellSpacing w:w="0" w:type="dxa"/>
          <w:jc w:val="center"/>
        </w:trPr>
        <w:tc>
          <w:tcPr>
            <w:tcW w:w="70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4047" w:type="dxa"/>
            <w:gridSpan w:val="2"/>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（七）总计 </w:t>
            </w:r>
          </w:p>
        </w:tc>
        <w:tc>
          <w:tcPr>
            <w:tcW w:w="657"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eastAsiaTheme="minorEastAsia"/>
                <w:lang w:eastAsia="zh-CN"/>
              </w:rPr>
            </w:pPr>
            <w:r>
              <w:rPr>
                <w:rFonts w:hint="eastAsia"/>
                <w:sz w:val="15"/>
                <w:szCs w:val="15"/>
                <w:lang w:val="en-US" w:eastAsia="zh-CN"/>
              </w:rPr>
              <w:t>2</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20"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47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eastAsiaTheme="minorEastAsia"/>
                <w:lang w:eastAsia="zh-CN"/>
              </w:rPr>
            </w:pPr>
            <w:r>
              <w:rPr>
                <w:rFonts w:hint="eastAsia"/>
                <w:sz w:val="15"/>
                <w:szCs w:val="15"/>
                <w:lang w:val="en-US" w:eastAsia="zh-CN"/>
              </w:rPr>
              <w:t>2</w:t>
            </w:r>
            <w:bookmarkStart w:id="0" w:name="_GoBack"/>
            <w:bookmarkEnd w:id="0"/>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0" w:hRule="atLeast"/>
          <w:tblCellSpacing w:w="0" w:type="dxa"/>
          <w:jc w:val="center"/>
        </w:trPr>
        <w:tc>
          <w:tcPr>
            <w:tcW w:w="4748" w:type="dxa"/>
            <w:gridSpan w:val="3"/>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四、结转下年度继续办理 </w:t>
            </w:r>
          </w:p>
        </w:tc>
        <w:tc>
          <w:tcPr>
            <w:tcW w:w="657"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20"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3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51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c>
          <w:tcPr>
            <w:tcW w:w="47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pPr>
            <w:r>
              <w:rPr>
                <w:sz w:val="15"/>
                <w:szCs w:val="15"/>
              </w:rPr>
              <w:t xml:space="preserve">0 </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pPr>
      <w:r>
        <w:rPr>
          <w:rFonts w:hint="eastAsia" w:ascii="黑体" w:hAnsi="黑体" w:eastAsia="黑体" w:cs="黑体"/>
          <w:b w:val="0"/>
          <w:bCs/>
          <w:color w:val="000000"/>
          <w:sz w:val="32"/>
          <w:szCs w:val="32"/>
          <w:shd w:val="clear" w:fill="FFFFFF"/>
        </w:rPr>
        <w:t>四、政府信息公开行政复议、行政诉讼情况</w:t>
      </w:r>
    </w:p>
    <w:tbl>
      <w:tblPr>
        <w:tblStyle w:val="4"/>
        <w:tblW w:w="8319"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53"/>
        <w:gridCol w:w="506"/>
        <w:gridCol w:w="553"/>
        <w:gridCol w:w="482"/>
        <w:gridCol w:w="679"/>
        <w:gridCol w:w="611"/>
        <w:gridCol w:w="564"/>
        <w:gridCol w:w="529"/>
        <w:gridCol w:w="529"/>
        <w:gridCol w:w="516"/>
        <w:gridCol w:w="600"/>
        <w:gridCol w:w="600"/>
        <w:gridCol w:w="611"/>
        <w:gridCol w:w="506"/>
        <w:gridCol w:w="4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3" w:hRule="atLeast"/>
          <w:tblCellSpacing w:w="0" w:type="dxa"/>
          <w:jc w:val="center"/>
        </w:trPr>
        <w:tc>
          <w:tcPr>
            <w:tcW w:w="2773" w:type="dxa"/>
            <w:gridSpan w:val="5"/>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行政复议 </w:t>
            </w:r>
          </w:p>
        </w:tc>
        <w:tc>
          <w:tcPr>
            <w:tcW w:w="5546" w:type="dxa"/>
            <w:gridSpan w:val="10"/>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行政诉讼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5" w:hRule="atLeast"/>
          <w:tblCellSpacing w:w="0" w:type="dxa"/>
          <w:jc w:val="center"/>
        </w:trPr>
        <w:tc>
          <w:tcPr>
            <w:tcW w:w="553" w:type="dxa"/>
            <w:vMerge w:val="restart"/>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结果 维持 </w:t>
            </w:r>
          </w:p>
        </w:tc>
        <w:tc>
          <w:tcPr>
            <w:tcW w:w="506" w:type="dxa"/>
            <w:vMerge w:val="restart"/>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结果 纠正 </w:t>
            </w:r>
          </w:p>
        </w:tc>
        <w:tc>
          <w:tcPr>
            <w:tcW w:w="553" w:type="dxa"/>
            <w:vMerge w:val="restart"/>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其他 结果 </w:t>
            </w:r>
          </w:p>
        </w:tc>
        <w:tc>
          <w:tcPr>
            <w:tcW w:w="482" w:type="dxa"/>
            <w:vMerge w:val="restart"/>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尚未 审结 </w:t>
            </w:r>
          </w:p>
        </w:tc>
        <w:tc>
          <w:tcPr>
            <w:tcW w:w="679" w:type="dxa"/>
            <w:vMerge w:val="restart"/>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总计 </w:t>
            </w:r>
          </w:p>
        </w:tc>
        <w:tc>
          <w:tcPr>
            <w:tcW w:w="2749" w:type="dxa"/>
            <w:gridSpan w:val="5"/>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未经复议直接起诉 </w:t>
            </w:r>
          </w:p>
        </w:tc>
        <w:tc>
          <w:tcPr>
            <w:tcW w:w="2797" w:type="dxa"/>
            <w:gridSpan w:val="5"/>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复议后起诉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9" w:hRule="atLeast"/>
          <w:tblCellSpacing w:w="0" w:type="dxa"/>
          <w:jc w:val="center"/>
        </w:trPr>
        <w:tc>
          <w:tcPr>
            <w:tcW w:w="55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50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55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48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67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sz w:val="15"/>
                <w:szCs w:val="15"/>
              </w:rPr>
            </w:pPr>
          </w:p>
        </w:tc>
        <w:tc>
          <w:tcPr>
            <w:tcW w:w="611"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结果 维持 </w:t>
            </w:r>
          </w:p>
        </w:tc>
        <w:tc>
          <w:tcPr>
            <w:tcW w:w="564"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结果 纠正 </w:t>
            </w:r>
          </w:p>
        </w:tc>
        <w:tc>
          <w:tcPr>
            <w:tcW w:w="52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其他 结果 </w:t>
            </w:r>
          </w:p>
        </w:tc>
        <w:tc>
          <w:tcPr>
            <w:tcW w:w="52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尚未 审结 </w:t>
            </w:r>
          </w:p>
        </w:tc>
        <w:tc>
          <w:tcPr>
            <w:tcW w:w="51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总 计 </w:t>
            </w:r>
          </w:p>
        </w:tc>
        <w:tc>
          <w:tcPr>
            <w:tcW w:w="600"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结果 维持 </w:t>
            </w:r>
          </w:p>
        </w:tc>
        <w:tc>
          <w:tcPr>
            <w:tcW w:w="600"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结果 纠正 </w:t>
            </w:r>
          </w:p>
        </w:tc>
        <w:tc>
          <w:tcPr>
            <w:tcW w:w="611"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其他 结果 </w:t>
            </w:r>
          </w:p>
        </w:tc>
        <w:tc>
          <w:tcPr>
            <w:tcW w:w="50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尚未 审结 </w:t>
            </w:r>
          </w:p>
        </w:tc>
        <w:tc>
          <w:tcPr>
            <w:tcW w:w="480"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总计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3" w:hRule="atLeast"/>
          <w:tblCellSpacing w:w="0" w:type="dxa"/>
          <w:jc w:val="center"/>
        </w:trPr>
        <w:tc>
          <w:tcPr>
            <w:tcW w:w="553"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0 </w:t>
            </w:r>
          </w:p>
        </w:tc>
        <w:tc>
          <w:tcPr>
            <w:tcW w:w="50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0 </w:t>
            </w:r>
          </w:p>
        </w:tc>
        <w:tc>
          <w:tcPr>
            <w:tcW w:w="553"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0 </w:t>
            </w:r>
          </w:p>
        </w:tc>
        <w:tc>
          <w:tcPr>
            <w:tcW w:w="482"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0 </w:t>
            </w:r>
          </w:p>
        </w:tc>
        <w:tc>
          <w:tcPr>
            <w:tcW w:w="67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0 </w:t>
            </w:r>
          </w:p>
        </w:tc>
        <w:tc>
          <w:tcPr>
            <w:tcW w:w="611"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0 </w:t>
            </w:r>
          </w:p>
        </w:tc>
        <w:tc>
          <w:tcPr>
            <w:tcW w:w="564"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0 </w:t>
            </w:r>
          </w:p>
        </w:tc>
        <w:tc>
          <w:tcPr>
            <w:tcW w:w="52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0 </w:t>
            </w:r>
          </w:p>
        </w:tc>
        <w:tc>
          <w:tcPr>
            <w:tcW w:w="529"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0 </w:t>
            </w:r>
          </w:p>
        </w:tc>
        <w:tc>
          <w:tcPr>
            <w:tcW w:w="51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0 </w:t>
            </w:r>
          </w:p>
        </w:tc>
        <w:tc>
          <w:tcPr>
            <w:tcW w:w="600"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0 </w:t>
            </w:r>
          </w:p>
        </w:tc>
        <w:tc>
          <w:tcPr>
            <w:tcW w:w="600"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0 </w:t>
            </w:r>
          </w:p>
        </w:tc>
        <w:tc>
          <w:tcPr>
            <w:tcW w:w="611"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0 </w:t>
            </w:r>
          </w:p>
        </w:tc>
        <w:tc>
          <w:tcPr>
            <w:tcW w:w="50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0 </w:t>
            </w:r>
          </w:p>
        </w:tc>
        <w:tc>
          <w:tcPr>
            <w:tcW w:w="480"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sz w:val="15"/>
                <w:szCs w:val="15"/>
              </w:rPr>
              <w:t xml:space="preserve">0 </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b w:val="0"/>
          <w:bCs/>
          <w:color w:val="000000"/>
          <w:sz w:val="32"/>
          <w:szCs w:val="32"/>
          <w:shd w:val="clear" w:fill="FFFFFF"/>
        </w:rPr>
      </w:pPr>
      <w:r>
        <w:rPr>
          <w:rFonts w:hint="eastAsia" w:ascii="黑体" w:hAnsi="黑体" w:eastAsia="黑体" w:cs="黑体"/>
          <w:b w:val="0"/>
          <w:bCs/>
          <w:color w:val="000000"/>
          <w:sz w:val="32"/>
          <w:szCs w:val="32"/>
          <w:shd w:val="clear" w:fill="FFFFFF"/>
        </w:rPr>
        <w:t xml:space="preserve">五、存在的主要问题及改进情况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一年来，政务公开工作虽然取得了一些成绩，但还存在一些问题和不足：</w:t>
      </w:r>
      <w:r>
        <w:rPr>
          <w:rFonts w:hint="eastAsia" w:ascii="仿宋_GB2312" w:hAnsi="仿宋_GB2312" w:eastAsia="仿宋_GB2312" w:cs="仿宋_GB2312"/>
          <w:color w:val="000000"/>
          <w:sz w:val="32"/>
          <w:szCs w:val="32"/>
          <w:shd w:val="clear" w:fill="FFFFFF"/>
          <w:lang w:eastAsia="zh-CN"/>
        </w:rPr>
        <w:t>一是</w:t>
      </w:r>
      <w:r>
        <w:rPr>
          <w:rFonts w:hint="eastAsia" w:ascii="仿宋_GB2312" w:hAnsi="仿宋_GB2312" w:eastAsia="仿宋_GB2312" w:cs="仿宋_GB2312"/>
          <w:color w:val="000000"/>
          <w:sz w:val="32"/>
          <w:szCs w:val="32"/>
          <w:shd w:val="clear" w:fill="FFFFFF"/>
        </w:rPr>
        <w:t>随着中省</w:t>
      </w:r>
      <w:r>
        <w:rPr>
          <w:rFonts w:hint="eastAsia" w:ascii="仿宋_GB2312" w:hAnsi="仿宋_GB2312" w:eastAsia="仿宋_GB2312" w:cs="仿宋_GB2312"/>
          <w:color w:val="000000"/>
          <w:sz w:val="32"/>
          <w:szCs w:val="32"/>
          <w:shd w:val="clear" w:fill="FFFFFF"/>
          <w:lang w:eastAsia="zh-CN"/>
        </w:rPr>
        <w:t>市</w:t>
      </w:r>
      <w:r>
        <w:rPr>
          <w:rFonts w:hint="eastAsia" w:ascii="仿宋_GB2312" w:hAnsi="仿宋_GB2312" w:eastAsia="仿宋_GB2312" w:cs="仿宋_GB2312"/>
          <w:color w:val="000000"/>
          <w:sz w:val="32"/>
          <w:szCs w:val="32"/>
          <w:shd w:val="clear" w:fill="FFFFFF"/>
        </w:rPr>
        <w:t>政务公开工作力度不断加大，政府信息公开渠道越来越广，公开内容越来越深，对政务公开工作人员的业务能力提出了更高要求。</w:t>
      </w:r>
      <w:r>
        <w:rPr>
          <w:rFonts w:hint="eastAsia" w:ascii="仿宋_GB2312" w:hAnsi="仿宋_GB2312" w:eastAsia="仿宋_GB2312" w:cs="仿宋_GB2312"/>
          <w:color w:val="000000"/>
          <w:sz w:val="32"/>
          <w:szCs w:val="32"/>
          <w:shd w:val="clear" w:fill="FFFFFF"/>
          <w:lang w:eastAsia="zh-CN"/>
        </w:rPr>
        <w:t>二是管委会政府网站安全维护技术力量薄弱，安全风险大。</w:t>
      </w:r>
      <w:r>
        <w:rPr>
          <w:rFonts w:hint="eastAsia" w:ascii="仿宋_GB2312" w:hAnsi="仿宋_GB2312" w:eastAsia="仿宋_GB2312" w:cs="仿宋_GB2312"/>
          <w:color w:val="000000"/>
          <w:sz w:val="32"/>
          <w:szCs w:val="32"/>
          <w:shd w:val="clear" w:fill="FFFFFF"/>
        </w:rPr>
        <w:br w:type="textWrapping"/>
      </w:r>
      <w:r>
        <w:rPr>
          <w:rFonts w:hint="eastAsia" w:ascii="仿宋_GB2312" w:hAnsi="仿宋_GB2312" w:eastAsia="仿宋_GB2312" w:cs="仿宋_GB2312"/>
          <w:color w:val="000000"/>
          <w:sz w:val="32"/>
          <w:szCs w:val="32"/>
          <w:shd w:val="clear" w:fill="FFFFFF"/>
        </w:rPr>
        <w:t>　　改进措施：</w:t>
      </w:r>
      <w:r>
        <w:rPr>
          <w:rFonts w:hint="eastAsia" w:ascii="仿宋_GB2312" w:hAnsi="仿宋_GB2312" w:eastAsia="仿宋_GB2312" w:cs="仿宋_GB2312"/>
          <w:color w:val="000000"/>
          <w:sz w:val="32"/>
          <w:szCs w:val="32"/>
          <w:shd w:val="clear" w:fill="FFFFFF"/>
          <w:lang w:eastAsia="zh-CN"/>
        </w:rPr>
        <w:t>一是</w:t>
      </w:r>
      <w:r>
        <w:rPr>
          <w:rFonts w:hint="eastAsia" w:ascii="仿宋_GB2312" w:hAnsi="仿宋_GB2312" w:eastAsia="仿宋_GB2312" w:cs="仿宋_GB2312"/>
          <w:color w:val="000000"/>
          <w:sz w:val="32"/>
          <w:szCs w:val="32"/>
          <w:shd w:val="clear" w:fill="FFFFFF"/>
        </w:rPr>
        <w:t>加强对政府网站、新媒体、依申请公开等方面工作的培训力度，提升政务公开工作人员业务能力，进一步做好政府信息公开工作，力促政府工作公开透明。</w:t>
      </w:r>
      <w:r>
        <w:rPr>
          <w:rFonts w:hint="eastAsia" w:ascii="仿宋_GB2312" w:hAnsi="仿宋_GB2312" w:eastAsia="仿宋_GB2312" w:cs="仿宋_GB2312"/>
          <w:color w:val="000000"/>
          <w:sz w:val="32"/>
          <w:szCs w:val="32"/>
          <w:shd w:val="clear" w:fill="FFFFFF"/>
          <w:lang w:eastAsia="zh-CN"/>
        </w:rPr>
        <w:t>二是积极参与全市政府网站集约化建设，将管委会网站纳入市政府网站部门频道中。</w:t>
      </w:r>
      <w:r>
        <w:rPr>
          <w:rFonts w:hint="eastAsia" w:ascii="仿宋_GB2312" w:hAnsi="仿宋_GB2312" w:eastAsia="仿宋_GB2312" w:cs="仿宋_GB2312"/>
          <w:color w:val="000000"/>
          <w:sz w:val="32"/>
          <w:szCs w:val="32"/>
          <w:shd w:val="clear" w:fill="FFFFFF"/>
        </w:rPr>
        <w:br w:type="textWrapping"/>
      </w:r>
      <w:r>
        <w:rPr>
          <w:rFonts w:hint="eastAsia" w:ascii="仿宋_GB2312" w:hAnsi="仿宋_GB2312" w:eastAsia="仿宋_GB2312" w:cs="仿宋_GB2312"/>
          <w:color w:val="000000"/>
          <w:sz w:val="32"/>
          <w:szCs w:val="32"/>
          <w:shd w:val="clear" w:fill="FFFFFF"/>
        </w:rPr>
        <w:t>　　</w:t>
      </w:r>
      <w:r>
        <w:rPr>
          <w:rFonts w:hint="eastAsia" w:ascii="仿宋_GB2312" w:hAnsi="仿宋_GB2312" w:eastAsia="仿宋_GB2312" w:cs="仿宋_GB2312"/>
          <w:b/>
          <w:color w:val="000000"/>
          <w:sz w:val="32"/>
          <w:szCs w:val="32"/>
          <w:shd w:val="clear" w:fill="FFFFFF"/>
        </w:rPr>
        <w:t>六、其他需要报告的事项</w:t>
      </w:r>
      <w:r>
        <w:rPr>
          <w:rFonts w:hint="eastAsia" w:ascii="仿宋_GB2312" w:hAnsi="仿宋_GB2312" w:eastAsia="仿宋_GB2312" w:cs="仿宋_GB2312"/>
          <w:color w:val="000000"/>
          <w:sz w:val="32"/>
          <w:szCs w:val="32"/>
          <w:shd w:val="clear" w:fill="FFFFFF"/>
        </w:rPr>
        <w:t xml:space="preserve"> </w:t>
      </w:r>
      <w:r>
        <w:rPr>
          <w:rFonts w:hint="eastAsia" w:ascii="仿宋_GB2312" w:hAnsi="仿宋_GB2312" w:eastAsia="仿宋_GB2312" w:cs="仿宋_GB2312"/>
          <w:color w:val="000000"/>
          <w:sz w:val="32"/>
          <w:szCs w:val="32"/>
          <w:shd w:val="clear" w:fill="FFFFFF"/>
        </w:rPr>
        <w:br w:type="textWrapping"/>
      </w:r>
      <w:r>
        <w:rPr>
          <w:rFonts w:hint="eastAsia" w:ascii="仿宋_GB2312" w:hAnsi="仿宋_GB2312" w:eastAsia="仿宋_GB2312" w:cs="仿宋_GB2312"/>
          <w:color w:val="000000"/>
          <w:sz w:val="32"/>
          <w:szCs w:val="32"/>
          <w:shd w:val="clear" w:fill="FFFFFF"/>
        </w:rPr>
        <w:t>　　如对本报告有疑问，请与</w:t>
      </w:r>
      <w:r>
        <w:rPr>
          <w:rFonts w:hint="eastAsia" w:ascii="仿宋_GB2312" w:hAnsi="仿宋_GB2312" w:eastAsia="仿宋_GB2312" w:cs="仿宋_GB2312"/>
          <w:color w:val="000000"/>
          <w:sz w:val="32"/>
          <w:szCs w:val="32"/>
          <w:shd w:val="clear" w:fill="FFFFFF"/>
          <w:lang w:eastAsia="zh-CN"/>
        </w:rPr>
        <w:t>耀州窑文化基地管委会</w:t>
      </w:r>
      <w:r>
        <w:rPr>
          <w:rFonts w:hint="eastAsia" w:ascii="仿宋_GB2312" w:hAnsi="仿宋_GB2312" w:eastAsia="仿宋_GB2312" w:cs="仿宋_GB2312"/>
          <w:color w:val="000000"/>
          <w:sz w:val="32"/>
          <w:szCs w:val="32"/>
          <w:shd w:val="clear" w:fill="FFFFFF"/>
        </w:rPr>
        <w:t>办公室联系。通信地址：陕西省铜川市</w:t>
      </w:r>
      <w:r>
        <w:rPr>
          <w:rFonts w:hint="eastAsia" w:ascii="仿宋_GB2312" w:hAnsi="仿宋_GB2312" w:eastAsia="仿宋_GB2312" w:cs="仿宋_GB2312"/>
          <w:color w:val="000000"/>
          <w:sz w:val="32"/>
          <w:szCs w:val="32"/>
          <w:shd w:val="clear" w:fill="FFFFFF"/>
          <w:lang w:eastAsia="zh-CN"/>
        </w:rPr>
        <w:t>王益区黄堡镇原钢铁厂办公楼</w:t>
      </w:r>
      <w:r>
        <w:rPr>
          <w:rFonts w:hint="eastAsia" w:ascii="仿宋_GB2312" w:hAnsi="仿宋_GB2312" w:eastAsia="仿宋_GB2312" w:cs="仿宋_GB2312"/>
          <w:color w:val="000000"/>
          <w:sz w:val="32"/>
          <w:szCs w:val="32"/>
          <w:shd w:val="clear" w:fill="FFFFFF"/>
        </w:rPr>
        <w:t>，邮编：</w:t>
      </w:r>
      <w:r>
        <w:rPr>
          <w:rFonts w:hint="eastAsia" w:ascii="仿宋_GB2312" w:hAnsi="仿宋_GB2312" w:eastAsia="仿宋_GB2312" w:cs="仿宋_GB2312"/>
          <w:color w:val="000000"/>
          <w:sz w:val="32"/>
          <w:szCs w:val="32"/>
          <w:shd w:val="clear" w:fill="FFFFFF"/>
          <w:lang w:val="en-US" w:eastAsia="zh-CN"/>
        </w:rPr>
        <w:t>727001</w:t>
      </w:r>
      <w:r>
        <w:rPr>
          <w:rFonts w:hint="eastAsia" w:ascii="仿宋_GB2312" w:hAnsi="仿宋_GB2312" w:eastAsia="仿宋_GB2312" w:cs="仿宋_GB2312"/>
          <w:color w:val="000000"/>
          <w:sz w:val="32"/>
          <w:szCs w:val="32"/>
          <w:shd w:val="clear" w:fill="FFFFFF"/>
        </w:rPr>
        <w:t>，联系电话：0919－</w:t>
      </w:r>
      <w:r>
        <w:rPr>
          <w:rFonts w:hint="eastAsia" w:ascii="仿宋_GB2312" w:hAnsi="仿宋_GB2312" w:eastAsia="仿宋_GB2312" w:cs="仿宋_GB2312"/>
          <w:color w:val="000000"/>
          <w:sz w:val="32"/>
          <w:szCs w:val="32"/>
          <w:shd w:val="clear" w:fill="FFFFFF"/>
          <w:lang w:val="en-US" w:eastAsia="zh-CN"/>
        </w:rPr>
        <w:t>7186210</w:t>
      </w:r>
      <w:r>
        <w:rPr>
          <w:rFonts w:hint="eastAsia" w:ascii="仿宋_GB2312" w:hAnsi="仿宋_GB2312" w:eastAsia="仿宋_GB2312" w:cs="仿宋_GB2312"/>
          <w:color w:val="000000"/>
          <w:sz w:val="32"/>
          <w:szCs w:val="32"/>
          <w:shd w:val="clear" w:fill="FFFFFF"/>
        </w:rPr>
        <w:t>，电子邮箱：</w:t>
      </w:r>
      <w:r>
        <w:rPr>
          <w:rFonts w:hint="eastAsia" w:ascii="仿宋_GB2312" w:hAnsi="仿宋_GB2312" w:eastAsia="仿宋_GB2312" w:cs="仿宋_GB2312"/>
          <w:color w:val="000000"/>
          <w:sz w:val="32"/>
          <w:szCs w:val="32"/>
          <w:shd w:val="clear" w:fill="FFFFFF"/>
          <w:lang w:val="en-US" w:eastAsia="zh-CN"/>
        </w:rPr>
        <w:t>hpgyyqxxzx</w:t>
      </w:r>
      <w:r>
        <w:rPr>
          <w:rFonts w:hint="eastAsia" w:ascii="仿宋_GB2312" w:hAnsi="仿宋_GB2312" w:eastAsia="仿宋_GB2312" w:cs="仿宋_GB2312"/>
          <w:color w:val="000000"/>
          <w:sz w:val="32"/>
          <w:szCs w:val="32"/>
          <w:shd w:val="clear" w:fill="FFFFFF"/>
        </w:rPr>
        <w:t>＠</w:t>
      </w:r>
      <w:r>
        <w:rPr>
          <w:rFonts w:hint="eastAsia" w:ascii="仿宋_GB2312" w:hAnsi="仿宋_GB2312" w:eastAsia="仿宋_GB2312" w:cs="仿宋_GB2312"/>
          <w:color w:val="000000"/>
          <w:sz w:val="32"/>
          <w:szCs w:val="32"/>
          <w:shd w:val="clear" w:fill="FFFFFF"/>
          <w:lang w:val="en-US" w:eastAsia="zh-CN"/>
        </w:rPr>
        <w:t>163</w:t>
      </w:r>
      <w:r>
        <w:rPr>
          <w:rFonts w:hint="eastAsia" w:ascii="仿宋_GB2312" w:hAnsi="仿宋_GB2312" w:eastAsia="仿宋_GB2312" w:cs="仿宋_GB2312"/>
          <w:color w:val="000000"/>
          <w:sz w:val="32"/>
          <w:szCs w:val="32"/>
          <w:shd w:val="clear" w:fill="FFFFFF"/>
        </w:rPr>
        <w:t>.com。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lang w:eastAsia="zh-CN"/>
        </w:rPr>
        <w:t>耀州窑文化基地管委会</w:t>
      </w:r>
      <w:r>
        <w:rPr>
          <w:rFonts w:hint="eastAsia" w:ascii="仿宋_GB2312" w:hAnsi="仿宋_GB2312" w:eastAsia="仿宋_GB2312" w:cs="仿宋_GB2312"/>
          <w:color w:val="000000"/>
          <w:sz w:val="32"/>
          <w:szCs w:val="32"/>
          <w:shd w:val="clear" w:fill="FFFFFF"/>
        </w:rPr>
        <w:t>　　</w:t>
      </w:r>
      <w:r>
        <w:rPr>
          <w:rFonts w:hint="eastAsia" w:ascii="仿宋_GB2312" w:hAnsi="仿宋_GB2312" w:eastAsia="仿宋_GB2312" w:cs="仿宋_GB2312"/>
          <w:color w:val="000000"/>
          <w:sz w:val="32"/>
          <w:szCs w:val="32"/>
          <w:shd w:val="clear" w:fill="FFFFFF"/>
        </w:rPr>
        <w:br w:type="textWrapping"/>
      </w:r>
      <w:r>
        <w:rPr>
          <w:rFonts w:hint="eastAsia" w:ascii="仿宋_GB2312" w:hAnsi="仿宋_GB2312" w:eastAsia="仿宋_GB2312" w:cs="仿宋_GB2312"/>
          <w:color w:val="000000"/>
          <w:sz w:val="32"/>
          <w:szCs w:val="32"/>
          <w:shd w:val="clear" w:fill="FFFFFF"/>
        </w:rPr>
        <w:t>20</w:t>
      </w:r>
      <w:r>
        <w:rPr>
          <w:rFonts w:hint="eastAsia" w:ascii="仿宋_GB2312" w:hAnsi="仿宋_GB2312" w:eastAsia="仿宋_GB2312" w:cs="仿宋_GB2312"/>
          <w:color w:val="000000"/>
          <w:sz w:val="32"/>
          <w:szCs w:val="32"/>
          <w:shd w:val="clear" w:fill="FFFFFF"/>
          <w:lang w:val="en-US" w:eastAsia="zh-CN"/>
        </w:rPr>
        <w:t>20</w:t>
      </w:r>
      <w:r>
        <w:rPr>
          <w:rFonts w:hint="eastAsia" w:ascii="仿宋_GB2312" w:hAnsi="仿宋_GB2312" w:eastAsia="仿宋_GB2312" w:cs="仿宋_GB2312"/>
          <w:color w:val="000000"/>
          <w:sz w:val="32"/>
          <w:szCs w:val="32"/>
          <w:shd w:val="clear" w:fill="FFFFFF"/>
        </w:rPr>
        <w:t>年</w:t>
      </w:r>
      <w:r>
        <w:rPr>
          <w:rFonts w:hint="eastAsia" w:ascii="仿宋_GB2312" w:hAnsi="仿宋_GB2312" w:eastAsia="仿宋_GB2312" w:cs="仿宋_GB2312"/>
          <w:color w:val="000000"/>
          <w:sz w:val="32"/>
          <w:szCs w:val="32"/>
          <w:shd w:val="clear" w:fill="FFFFFF"/>
          <w:lang w:val="en-US" w:eastAsia="zh-CN"/>
        </w:rPr>
        <w:t>12</w:t>
      </w:r>
      <w:r>
        <w:rPr>
          <w:rFonts w:hint="eastAsia" w:ascii="仿宋_GB2312" w:hAnsi="仿宋_GB2312" w:eastAsia="仿宋_GB2312" w:cs="仿宋_GB2312"/>
          <w:color w:val="000000"/>
          <w:sz w:val="32"/>
          <w:szCs w:val="32"/>
          <w:shd w:val="clear" w:fill="FFFFFF"/>
        </w:rPr>
        <w:t>月</w:t>
      </w:r>
      <w:r>
        <w:rPr>
          <w:rFonts w:hint="eastAsia" w:ascii="仿宋_GB2312" w:hAnsi="仿宋_GB2312" w:eastAsia="仿宋_GB2312" w:cs="仿宋_GB2312"/>
          <w:color w:val="000000"/>
          <w:sz w:val="32"/>
          <w:szCs w:val="32"/>
          <w:shd w:val="clear" w:fill="FFFFFF"/>
          <w:lang w:val="en-US" w:eastAsia="zh-CN"/>
        </w:rPr>
        <w:t>31</w:t>
      </w:r>
      <w:r>
        <w:rPr>
          <w:rFonts w:hint="eastAsia" w:ascii="仿宋_GB2312" w:hAnsi="仿宋_GB2312" w:eastAsia="仿宋_GB2312" w:cs="仿宋_GB2312"/>
          <w:color w:val="000000"/>
          <w:sz w:val="32"/>
          <w:szCs w:val="32"/>
          <w:shd w:val="clear" w:fill="FFFFFF"/>
        </w:rPr>
        <w:t>日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E7122"/>
    <w:rsid w:val="1D8A346C"/>
    <w:rsid w:val="1DF7181F"/>
    <w:rsid w:val="3111545F"/>
    <w:rsid w:val="33BF4954"/>
    <w:rsid w:val="33E938C5"/>
    <w:rsid w:val="3E752DD8"/>
    <w:rsid w:val="405D6EC5"/>
    <w:rsid w:val="409044B2"/>
    <w:rsid w:val="5917150B"/>
    <w:rsid w:val="6EB84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basedOn w:val="1"/>
    <w:qFormat/>
    <w:uiPriority w:val="0"/>
    <w:pPr>
      <w:jc w:val="left"/>
    </w:pPr>
    <w:rPr>
      <w:color w:val="666666"/>
      <w:kern w:val="0"/>
      <w:sz w:val="36"/>
      <w:szCs w:val="36"/>
      <w:lang w:val="en-US" w:eastAsia="zh-CN" w:bidi="ar"/>
    </w:rPr>
  </w:style>
  <w:style w:type="character" w:styleId="6">
    <w:name w:val="FollowedHyperlink"/>
    <w:basedOn w:val="5"/>
    <w:uiPriority w:val="0"/>
    <w:rPr>
      <w:color w:val="800080"/>
      <w:u w:val="none"/>
    </w:rPr>
  </w:style>
  <w:style w:type="character" w:styleId="7">
    <w:name w:val="Emphasis"/>
    <w:basedOn w:val="5"/>
    <w:qFormat/>
    <w:uiPriority w:val="0"/>
  </w:style>
  <w:style w:type="character" w:styleId="8">
    <w:name w:val="HTML Acronym"/>
    <w:basedOn w:val="5"/>
    <w:qFormat/>
    <w:uiPriority w:val="0"/>
  </w:style>
  <w:style w:type="character" w:styleId="9">
    <w:name w:val="HTML Variable"/>
    <w:basedOn w:val="5"/>
    <w:qFormat/>
    <w:uiPriority w:val="0"/>
  </w:style>
  <w:style w:type="character" w:styleId="10">
    <w:name w:val="Hyperlink"/>
    <w:basedOn w:val="5"/>
    <w:qFormat/>
    <w:uiPriority w:val="0"/>
    <w:rPr>
      <w:color w:val="0000FF"/>
      <w:u w:val="none"/>
    </w:rPr>
  </w:style>
  <w:style w:type="character" w:styleId="11">
    <w:name w:val="HTML Cite"/>
    <w:basedOn w:val="5"/>
    <w:qFormat/>
    <w:uiPriority w:val="0"/>
  </w:style>
  <w:style w:type="character" w:customStyle="1" w:styleId="12">
    <w:name w:val="hover61"/>
    <w:basedOn w:val="5"/>
    <w:qFormat/>
    <w:uiPriority w:val="0"/>
    <w:rPr>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2021-01-13T01:12:00Z</cp:lastPrinted>
  <dcterms:modified xsi:type="dcterms:W3CDTF">2021-03-01T07:26:38Z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