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铜川市国资委2020年政府信息公开工作年度报告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根据《中华人民共和国政府信息公开条例》和《陕西省政府信息公开规定》要求，现公布我委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年度政府信息公开工作年度报告。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本报告所列数据统计期限自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2020年1月1日至2020年12月31日。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年，以习近平新时代中国特色社会主义思想为指导，全面贯彻党的十九大和十九届二中、三中、四中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、五中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全会精神，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深入学习贯彻习近平总书记来陕考察重要讲话精神，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落实党中省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、市委、市政府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关于全面推进政务公开工作系列部署要求，认真执行新修订的《中华人民共和国政府信息公开条例》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（以下简称《条例》）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，紧密围绕全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国资国企改革发展和党的建设，充分利用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门户网站、微信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等对外宣传渠道，及时主动向社会公开我委重要活动、重要文件、政策法规以及其它各类重要信息，积极稳妥地推进国资监管工作信息公开，增强工作透明度，促进依法监管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精准监管。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 主动公开政府信息。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在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  <w:lang w:eastAsia="zh-CN"/>
        </w:rPr>
        <w:t>部门频道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公开了我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  <w:lang w:eastAsia="zh-CN"/>
        </w:rPr>
        <w:t>委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部门职能、机构设置、地址、联系方式、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  <w:lang w:eastAsia="zh-CN"/>
        </w:rPr>
        <w:t>监事会主席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和财政预算、决算等信息。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  <w:lang w:eastAsia="zh-CN"/>
        </w:rPr>
        <w:t>组织国企合力团新闻发布会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1次，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全年共发布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  <w:lang w:eastAsia="zh-CN"/>
        </w:rPr>
        <w:t>工作动态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  <w:lang w:eastAsia="zh-CN"/>
        </w:rPr>
        <w:t>国资监管动态、党建活动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等方面的信息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308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其中：通过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网站发布信息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国企党建微信公众号平台发布信息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63条，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发布通知公告类信息6条、受理回复依申请公开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 全面完成依申请公开。依托部门网站，畅通依申请公开受理渠道，2020年，受理1件依申请公开，已按期答复。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 强化政府信息管理。不断加强政府信息资源的规范化、标准化、信息化管理，已将委部门网站关停整合，按照市政府网站统一集约化管理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。国企党建微信公众平台已按规定予以注销。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严格制度保障。委办公室具体负责全委政务信息公开的督办、重要信息的审定和发布，统筹开展政务公开工作。各科室主要负责人为各科室室信息公开第一责任人，具体负责科室政务信息的计划和更新、审查。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5"/>
        <w:tblW w:w="0" w:type="auto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8"/>
        <w:gridCol w:w="2226"/>
        <w:gridCol w:w="1928"/>
        <w:gridCol w:w="2018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820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本年新制作数量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本年新公开数量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820" w:type="dxa"/>
            <w:gridSpan w:val="4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820" w:type="dxa"/>
            <w:gridSpan w:val="4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820" w:type="dxa"/>
            <w:gridSpan w:val="4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94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820" w:type="dxa"/>
            <w:gridSpan w:val="4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94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4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政府集中釆购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0" w:after="750" w:afterAutospacing="0" w:line="375" w:lineRule="atLeast"/>
        <w:ind w:right="0" w:rightChars="0" w:firstLine="640" w:firstLineChars="200"/>
        <w:jc w:val="both"/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收到和处理政府信息公开申请情况</w:t>
      </w:r>
    </w:p>
    <w:tbl>
      <w:tblPr>
        <w:tblStyle w:val="5"/>
        <w:tblW w:w="8876" w:type="dxa"/>
        <w:tblInd w:w="9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1468"/>
        <w:gridCol w:w="2856"/>
        <w:gridCol w:w="590"/>
        <w:gridCol w:w="570"/>
        <w:gridCol w:w="570"/>
        <w:gridCol w:w="555"/>
        <w:gridCol w:w="570"/>
        <w:gridCol w:w="525"/>
        <w:gridCol w:w="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1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（本列数据的勾稽关系为：第一项加第二项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之和， 等于第三项加第四项之和）</w:t>
            </w:r>
          </w:p>
        </w:tc>
        <w:tc>
          <w:tcPr>
            <w:tcW w:w="3960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16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7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法人或其他组织</w:t>
            </w:r>
          </w:p>
        </w:tc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16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商业 企业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科研 机构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 公益 组织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法律 服务 机构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他</w:t>
            </w:r>
          </w:p>
        </w:tc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1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1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三、本年度办理结果</w:t>
            </w:r>
          </w:p>
        </w:tc>
        <w:tc>
          <w:tcPr>
            <w:tcW w:w="4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（一）予以公开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（三）不予公开</w:t>
            </w: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1.属于国家秘密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</w:rPr>
              <w:t>2.其他法律行政法规禁止公开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3.危及“三安全一稳定”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4.保护第三方合法权益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5.属于三类内部事务信息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6.属于四类过程性信息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7.属于行政执法案卷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8.属于行政查询事项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（四）无法提供</w:t>
            </w: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</w:rPr>
              <w:t>1.本机关不掌握相关政府信息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</w:rPr>
              <w:t>2.没有现成信息需要另行制作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3.补正后申请内容仍不明确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（五）不予处理</w:t>
            </w: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1.信访举报投诉类申请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2.重复申请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3.要求提供公开出版物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4.无正当理由大量反复申请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（六）其他处理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（七）总计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1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四、结转下年度继续办理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750" w:afterAutospacing="0" w:line="300" w:lineRule="atLeast"/>
        <w:ind w:left="0" w:right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5"/>
        <w:tblW w:w="8984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581"/>
        <w:gridCol w:w="581"/>
        <w:gridCol w:w="581"/>
        <w:gridCol w:w="581"/>
        <w:gridCol w:w="583"/>
        <w:gridCol w:w="545"/>
        <w:gridCol w:w="505"/>
        <w:gridCol w:w="506"/>
        <w:gridCol w:w="551"/>
        <w:gridCol w:w="560"/>
        <w:gridCol w:w="571"/>
        <w:gridCol w:w="584"/>
        <w:gridCol w:w="492"/>
        <w:gridCol w:w="11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903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行政复议</w:t>
            </w:r>
          </w:p>
        </w:tc>
        <w:tc>
          <w:tcPr>
            <w:tcW w:w="6081" w:type="dxa"/>
            <w:gridSpan w:val="10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维持</w:t>
            </w:r>
          </w:p>
        </w:tc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结果 纠正</w:t>
            </w:r>
          </w:p>
        </w:tc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 结果</w:t>
            </w:r>
          </w:p>
        </w:tc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尚未 审结</w:t>
            </w:r>
          </w:p>
        </w:tc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2690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未经复议直接起诉</w:t>
            </w:r>
          </w:p>
        </w:tc>
        <w:tc>
          <w:tcPr>
            <w:tcW w:w="3391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结果 维持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结果 纠正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 结果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尚未 审结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结果 维持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结果 纠正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 结果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尚未 审结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委信息公开工作随着制度的不断完善，发挥了政府信息的服务作用，促进了依法监管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精准监管，但与公众的要求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还存在着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差距。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一是对网站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信息发布的及时性、更新速度、准确度还有待加强；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二是针对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国资国企改革发展重点工作的宣传力度还不够大、内容还不够丰富。202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继续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做好以下工作：一是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扩宽政府信息公开范围。不断提高信息公开的全面性、时效性和规范性，重点推进国资监管、国资产权交易、国企动态等一些公众关注度高的信息的公开。二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是加大国资国企改革发展工作宣传力度。及时掌握社会公众关心的热点和难点问题，努力做好重大动态发布、重要政策解读以及政民互动交流，增强工作的主动性、针对性和时效性。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三是强化队伍建设。加强人员队伍建设，积极参加市级部门举办的各种专业培训，提高能力，规范管理，确保政府信息公开工作规范、及时、透明、高效。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、需要说明的事项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如对本报告有疑问，请与铜川市国资委联系（地址：铜川市新区正阳路9号，邮编：727031，联系电话：0919-3185930，电子邮箱：tcsgzw@126.com）。本报告的电子版可在铜川市国资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委部门频道</w:t>
      </w:r>
      <w:r>
        <w:rPr>
          <w:rFonts w:hint="eastAsia" w:ascii="仿宋_GB2312" w:hAnsi="仿宋_GB2312" w:eastAsia="仿宋_GB2312" w:cs="仿宋_GB2312"/>
          <w:color w:val="000000"/>
          <w:spacing w:val="-4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40"/>
          <w:sz w:val="32"/>
          <w:szCs w:val="32"/>
        </w:rPr>
        <w:t>http://www.tongchuan.gov.cn/news_page.rt?channlId=4475)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铜川市国资委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2021年1月25日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0637B"/>
    <w:multiLevelType w:val="singleLevel"/>
    <w:tmpl w:val="BCA0637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C4306"/>
    <w:rsid w:val="00254D4E"/>
    <w:rsid w:val="011D4C11"/>
    <w:rsid w:val="02F15659"/>
    <w:rsid w:val="033428D7"/>
    <w:rsid w:val="033B6907"/>
    <w:rsid w:val="03FA6136"/>
    <w:rsid w:val="060F79D8"/>
    <w:rsid w:val="06A853BD"/>
    <w:rsid w:val="07725D25"/>
    <w:rsid w:val="07C86EFE"/>
    <w:rsid w:val="08227206"/>
    <w:rsid w:val="08B2458F"/>
    <w:rsid w:val="0EE73DDC"/>
    <w:rsid w:val="182F2093"/>
    <w:rsid w:val="18DB54D3"/>
    <w:rsid w:val="19523E64"/>
    <w:rsid w:val="19817CA7"/>
    <w:rsid w:val="1AB22C2C"/>
    <w:rsid w:val="1C755BC2"/>
    <w:rsid w:val="1C9254CE"/>
    <w:rsid w:val="1D836474"/>
    <w:rsid w:val="1E6E0DC1"/>
    <w:rsid w:val="21594D25"/>
    <w:rsid w:val="22325953"/>
    <w:rsid w:val="22FF75F0"/>
    <w:rsid w:val="23B217C1"/>
    <w:rsid w:val="25ED32E6"/>
    <w:rsid w:val="296C4306"/>
    <w:rsid w:val="29911E3B"/>
    <w:rsid w:val="2A850A43"/>
    <w:rsid w:val="2B8A0E5E"/>
    <w:rsid w:val="2BC71D39"/>
    <w:rsid w:val="2BD66FC8"/>
    <w:rsid w:val="2C1721ED"/>
    <w:rsid w:val="2C1B70B9"/>
    <w:rsid w:val="2CC56B68"/>
    <w:rsid w:val="2DB220F5"/>
    <w:rsid w:val="2F300DA5"/>
    <w:rsid w:val="2F590237"/>
    <w:rsid w:val="2FE364BF"/>
    <w:rsid w:val="317A4447"/>
    <w:rsid w:val="31A73325"/>
    <w:rsid w:val="31E33587"/>
    <w:rsid w:val="3342051B"/>
    <w:rsid w:val="34285FFC"/>
    <w:rsid w:val="343B701F"/>
    <w:rsid w:val="35FC4CDF"/>
    <w:rsid w:val="36001C84"/>
    <w:rsid w:val="388558B8"/>
    <w:rsid w:val="39617A67"/>
    <w:rsid w:val="39A32EA5"/>
    <w:rsid w:val="3A0C1171"/>
    <w:rsid w:val="3B0E3ED7"/>
    <w:rsid w:val="3B7B3ED0"/>
    <w:rsid w:val="3BD15160"/>
    <w:rsid w:val="3E6B79E8"/>
    <w:rsid w:val="408807CD"/>
    <w:rsid w:val="41C938C6"/>
    <w:rsid w:val="41CB2ECE"/>
    <w:rsid w:val="43970CFD"/>
    <w:rsid w:val="43A26127"/>
    <w:rsid w:val="46E11369"/>
    <w:rsid w:val="470D5370"/>
    <w:rsid w:val="473A7F5E"/>
    <w:rsid w:val="482C7CA4"/>
    <w:rsid w:val="482E197C"/>
    <w:rsid w:val="4AB419B5"/>
    <w:rsid w:val="4ADD5FA5"/>
    <w:rsid w:val="4EF5328C"/>
    <w:rsid w:val="4FB01FD1"/>
    <w:rsid w:val="509F3892"/>
    <w:rsid w:val="52102139"/>
    <w:rsid w:val="526F37F2"/>
    <w:rsid w:val="52EF5CAF"/>
    <w:rsid w:val="5322570C"/>
    <w:rsid w:val="55042425"/>
    <w:rsid w:val="592A0071"/>
    <w:rsid w:val="5CC028FC"/>
    <w:rsid w:val="5CF76CC7"/>
    <w:rsid w:val="5F027BD9"/>
    <w:rsid w:val="60B73005"/>
    <w:rsid w:val="60D9094F"/>
    <w:rsid w:val="61811C6A"/>
    <w:rsid w:val="65A958D0"/>
    <w:rsid w:val="660B1555"/>
    <w:rsid w:val="68233EA1"/>
    <w:rsid w:val="6B592FCC"/>
    <w:rsid w:val="6CCD07A1"/>
    <w:rsid w:val="6D7F2A91"/>
    <w:rsid w:val="6FE66E00"/>
    <w:rsid w:val="72245C7C"/>
    <w:rsid w:val="752F110C"/>
    <w:rsid w:val="758D643D"/>
    <w:rsid w:val="76463B3C"/>
    <w:rsid w:val="793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Consolas" w:hAnsi="Consolas" w:eastAsia="Consolas" w:cs="Consolas"/>
    </w:rPr>
  </w:style>
  <w:style w:type="character" w:customStyle="1" w:styleId="18">
    <w:name w:val="tim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2021-01-08T08:34:00Z</dcterms:created>
  <dc:creator>sharon1396519155</dc:creator>
  <cp:lastModifiedBy>sharon1396519155</cp:lastModifiedBy>
  <cp:lastPrinted>2021-01-25T06:44:00Z</cp:lastPrinted>
  <dcterms:modified xsi:type="dcterms:W3CDTF">2021-02-07T07:04:18Z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