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/>
        <w:jc w:val="center"/>
        <w:rPr>
          <w:rFonts w:ascii="方正小标宋简体" w:hAnsi="微软雅黑" w:eastAsia="方正小标宋简体"/>
          <w:color w:val="auto"/>
          <w:sz w:val="40"/>
          <w:highlight w:val="none"/>
        </w:rPr>
      </w:pPr>
      <w:r>
        <w:rPr>
          <w:rFonts w:hint="eastAsia" w:ascii="方正小标宋简体" w:hAnsi="微软雅黑" w:eastAsia="方正小标宋简体"/>
          <w:color w:val="auto"/>
          <w:sz w:val="40"/>
          <w:highlight w:val="none"/>
        </w:rPr>
        <w:t>铜川市</w:t>
      </w:r>
      <w:bookmarkStart w:id="0" w:name="_GoBack"/>
      <w:bookmarkEnd w:id="0"/>
      <w:r>
        <w:rPr>
          <w:rFonts w:hint="eastAsia" w:ascii="方正小标宋简体" w:hAnsi="微软雅黑" w:eastAsia="方正小标宋简体"/>
          <w:color w:val="auto"/>
          <w:sz w:val="40"/>
          <w:highlight w:val="none"/>
        </w:rPr>
        <w:t>20</w:t>
      </w:r>
      <w:r>
        <w:rPr>
          <w:rFonts w:hint="eastAsia" w:ascii="方正小标宋简体" w:hAnsi="微软雅黑" w:eastAsia="方正小标宋简体"/>
          <w:color w:val="auto"/>
          <w:sz w:val="40"/>
          <w:highlight w:val="none"/>
          <w:lang w:val="en-US" w:eastAsia="zh-CN"/>
        </w:rPr>
        <w:t>20</w:t>
      </w:r>
      <w:r>
        <w:rPr>
          <w:rFonts w:hint="eastAsia" w:ascii="方正小标宋简体" w:hAnsi="微软雅黑" w:eastAsia="方正小标宋简体"/>
          <w:color w:val="auto"/>
          <w:sz w:val="40"/>
          <w:highlight w:val="none"/>
        </w:rPr>
        <w:t>年国民经济和社会发展统计公报</w:t>
      </w:r>
    </w:p>
    <w:p>
      <w:pPr>
        <w:pStyle w:val="7"/>
        <w:spacing w:before="240" w:after="240"/>
        <w:jc w:val="center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铜川市统计局    国家统计局铜川调查队</w:t>
      </w:r>
    </w:p>
    <w:p>
      <w:pPr>
        <w:pStyle w:val="7"/>
        <w:spacing w:before="240" w:after="240"/>
        <w:jc w:val="center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2021年3月18日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2020年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面对新冠疫情的严重冲击，市委、市政府坚持以习近平新时代中国特色社会主义思想为指导，深入贯彻落实习近平总书记来陕考察重要讲话，统筹疫情防控和经济社会发展，扎实做好“六稳”工作，全面落实“六保”任务，转型升级步伐加快，追赶超越高质量发展迈出新步伐。</w:t>
      </w:r>
    </w:p>
    <w:p>
      <w:pPr>
        <w:pStyle w:val="7"/>
        <w:jc w:val="center"/>
        <w:rPr>
          <w:rFonts w:ascii="仿宋_GB2312" w:eastAsia="仿宋_GB2312" w:hAnsiTheme="minorHAnsi" w:cstheme="minorBidi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/>
          <w:color w:val="auto"/>
          <w:kern w:val="2"/>
          <w:sz w:val="32"/>
          <w:szCs w:val="32"/>
          <w:highlight w:val="none"/>
        </w:rPr>
        <w:t>一、综  合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初步核算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生产总值381.7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亿元，比上年增长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其中第一产业增加值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30.76亿元，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4.0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第二产业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增加值133.34亿元，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2.3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第三产业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增加值217.65亿元，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7.1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79950" cy="2845435"/>
            <wp:effectExtent l="0" t="0" r="6350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2845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center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次产业占比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34.9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: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57.0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，三产占比较上年提高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个百分点。全年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非公有制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经济增加值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195.77亿元，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占生产总值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的51.3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较上年提高0.8个百分点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19905" cy="3510915"/>
            <wp:effectExtent l="0" t="0" r="4445" b="1333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9905" cy="3510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color w:val="auto"/>
          <w:kern w:val="2"/>
          <w:sz w:val="32"/>
          <w:szCs w:val="32"/>
          <w:highlight w:val="none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/>
          <w:color w:val="auto"/>
          <w:kern w:val="2"/>
          <w:sz w:val="32"/>
          <w:szCs w:val="32"/>
          <w:highlight w:val="none"/>
        </w:rPr>
        <w:t>二、农  业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年农林牧渔业增加值32.02亿元，比上年增长4.0%。全年粮食总产量31.57万吨，增长10.1%；其中夏粮6.64万吨，增长21.6%；秋粮24.93万吨，增长7.4%。园林水果总产量61.83万吨，增长5.7%；其中苹果59.06万吨，增长5.9%。蔬菜及食用菌产量7.40万吨，增长3.9%。肉类产量1.06万吨，增长5.6%。奶类产量2.98万吨，下降11.3%。禽蛋产量2.33万吨，增长1.3%。</w:t>
      </w:r>
    </w:p>
    <w:p>
      <w:pPr>
        <w:jc w:val="center"/>
      </w:pPr>
      <w:r>
        <w:drawing>
          <wp:inline distT="0" distB="0" distL="114300" distR="114300">
            <wp:extent cx="4524375" cy="32194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495800" cy="2914650"/>
            <wp:effectExtent l="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三、工业和建筑业</w:t>
      </w:r>
    </w:p>
    <w:p>
      <w:pPr>
        <w:pStyle w:val="7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全年工业增加值比上年增长2.4%，其中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规模以上工业增加值增长2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规模以上工业中，非能源工业增长9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%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高耗能行业增长15.4%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高技术产业（制造业）增长4.2%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。</w:t>
      </w:r>
    </w:p>
    <w:p>
      <w:pPr>
        <w:pStyle w:val="7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分主要行业看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四大传统产业增加值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增长3.5%，其中煤炭开采和洗选业下降5.9%，非金属矿物制品业增长12.9%，有色金属冶炼及压延加工业增长32.2%，电力生产及供应业增长16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.0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 xml:space="preserve">%。食品、医药及装备制造三大接续产业增加值增长5.9%，其中食品制造业下降10.3%，医药制造业增长2.8%，装备制造业增长14.5%。 </w:t>
      </w:r>
    </w:p>
    <w:p>
      <w:pPr>
        <w:pStyle w:val="7"/>
        <w:spacing w:before="0" w:beforeAutospacing="0" w:after="0" w:afterAutospacing="0"/>
        <w:ind w:firstLine="640" w:firstLineChars="200"/>
        <w:jc w:val="both"/>
        <w:rPr>
          <w:rFonts w:hint="eastAsia" w:asci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</w:rPr>
        <w:t>全年规模以上工业企业营业收入293.32亿元，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比上年</w:t>
      </w:r>
      <w:r>
        <w:rPr>
          <w:rFonts w:hint="eastAsia" w:ascii="仿宋_GB2312" w:eastAsia="仿宋_GB2312" w:cs="Times New Roman"/>
          <w:color w:val="auto"/>
          <w:sz w:val="32"/>
          <w:szCs w:val="32"/>
        </w:rPr>
        <w:t>增长6.5%；实现利润总额18.46亿元，全市工业31个大类行业中24个盈利，7个亏损。</w:t>
      </w:r>
    </w:p>
    <w:p>
      <w:pPr>
        <w:pStyle w:val="7"/>
        <w:spacing w:before="0" w:beforeAutospacing="0" w:after="0" w:afterAutospacing="0"/>
        <w:jc w:val="center"/>
        <w:rPr>
          <w:rFonts w:hint="eastAsia" w:ascii="仿宋_GB2312" w:eastAsia="仿宋_GB2312" w:cs="Times New Roman"/>
          <w:color w:val="FF0000"/>
          <w:sz w:val="32"/>
          <w:szCs w:val="32"/>
        </w:rPr>
      </w:pPr>
      <w:r>
        <w:drawing>
          <wp:inline distT="0" distB="0" distL="114300" distR="114300">
            <wp:extent cx="5271135" cy="4998085"/>
            <wp:effectExtent l="0" t="0" r="5715" b="12065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99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</w:t>
      </w:r>
      <w:r>
        <w:rPr>
          <w:rFonts w:hint="eastAsia" w:ascii="仿宋_GB2312" w:eastAsia="仿宋_GB2312"/>
          <w:color w:val="auto"/>
          <w:sz w:val="32"/>
          <w:szCs w:val="32"/>
        </w:rPr>
        <w:t>年建筑业增加值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20.84亿元，比上年</w:t>
      </w:r>
      <w:r>
        <w:rPr>
          <w:rFonts w:hint="eastAsia" w:ascii="仿宋_GB2312" w:eastAsia="仿宋_GB2312"/>
          <w:color w:val="auto"/>
          <w:sz w:val="32"/>
          <w:szCs w:val="32"/>
        </w:rPr>
        <w:t>增长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5.1</w:t>
      </w:r>
      <w:r>
        <w:rPr>
          <w:rFonts w:hint="eastAsia" w:ascii="仿宋_GB2312" w:eastAsia="仿宋_GB2312"/>
          <w:color w:val="auto"/>
          <w:sz w:val="32"/>
          <w:szCs w:val="32"/>
        </w:rPr>
        <w:t>%。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具有</w:t>
      </w:r>
      <w:r>
        <w:rPr>
          <w:rFonts w:ascii="仿宋_GB2312" w:eastAsia="仿宋_GB2312"/>
          <w:color w:val="auto"/>
          <w:sz w:val="32"/>
          <w:szCs w:val="32"/>
        </w:rPr>
        <w:t>资质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等级的</w:t>
      </w:r>
      <w:r>
        <w:rPr>
          <w:rFonts w:ascii="仿宋_GB2312" w:eastAsia="仿宋_GB2312"/>
          <w:color w:val="auto"/>
          <w:sz w:val="32"/>
          <w:szCs w:val="32"/>
        </w:rPr>
        <w:t>建筑业市内企业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color w:val="auto"/>
          <w:sz w:val="32"/>
          <w:szCs w:val="32"/>
        </w:rPr>
        <w:t>户，较上年新</w:t>
      </w:r>
      <w:r>
        <w:rPr>
          <w:rFonts w:ascii="仿宋_GB2312" w:eastAsia="仿宋_GB2312"/>
          <w:color w:val="auto"/>
          <w:sz w:val="32"/>
          <w:szCs w:val="32"/>
        </w:rPr>
        <w:t>增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户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市内建筑企业签订合同额101.25亿元，增长5.8%，其中本年新签合同额59.36亿元，增长20.8%。</w:t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color w:val="FF0000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四、固定资产投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/>
          <w:color w:val="auto"/>
          <w:sz w:val="32"/>
          <w:szCs w:val="32"/>
        </w:rPr>
        <w:t>全社会固定资产投资比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/>
          <w:color w:val="auto"/>
          <w:sz w:val="32"/>
          <w:szCs w:val="32"/>
        </w:rPr>
        <w:t>增长5.2%，其中固定资产投资（不含跨地市投资和农户投资）增长4.6%，民间投资下降17.3%。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679950" cy="3011170"/>
            <wp:effectExtent l="0" t="0" r="6350" b="1778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30111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4276725" cy="5657850"/>
            <wp:effectExtent l="0" t="0" r="9525" b="0"/>
            <wp:docPr id="1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565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全年高技术产业投资比上年增长97.6%，其中高技术制造业投资增长65.9%，高技术服务业增长136.1%。</w:t>
      </w:r>
    </w:p>
    <w:p>
      <w:pPr>
        <w:pStyle w:val="7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全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房地产开发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投资完成33.87亿元，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增长16.5%。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房地产开发企业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房屋施工面积449.56万平方米，下降13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%。商品房销售面积63.49万平方米，增长5.2%。</w:t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center"/>
        <w:rPr>
          <w:rFonts w:hint="default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五、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国内贸易和市场价格</w:t>
      </w:r>
    </w:p>
    <w:p>
      <w:pPr>
        <w:ind w:firstLine="640" w:firstLineChars="200"/>
        <w:rPr>
          <w:rFonts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全年社会消费品零售总额133.1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亿元，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下降15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%。其中限额以上企业（单位）实现消费品零售额52.49亿元，下降9.5%。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按经营地分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，城镇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消费品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零售额102.88亿元，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下降13.8%；乡村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消费品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零售额30.21亿元，下降18.7%。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按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消费形态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分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，商品零售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103.62亿元，下降16.2%；餐饮收入29.49亿元，下降10.1%。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限额以上企业商品零售额中，石油及制品类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增长20.5%，中西药品类增长19.2%，建筑及装潢材料类增长7.8%，书报杂志类增长1.3%，粮食、油品类下降20.2%，汽车类下降6.5%，家用电器和音像器材类下降27.5%，服装、鞋帽、针纺织品类下降20.9%，文化办公用品类下降22.1%，饮料类下降17.3%，通过公共网络实现的商品销售累计增长148.8%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 xml:space="preserve"> </w:t>
      </w:r>
    </w:p>
    <w:p>
      <w:pPr>
        <w:pStyle w:val="7"/>
        <w:ind w:firstLine="640" w:firstLineChars="200"/>
        <w:jc w:val="both"/>
        <w:rPr>
          <w:color w:val="auto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全年居民消费价格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比上年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上涨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3.2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%，涨幅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上年提高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0.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个百分点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八大类消费价格指数“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降”，其中食品烟酒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6.9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%、居住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2.6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%、生活用品及服务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2.0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%、教育文化和娱乐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5.1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%、医疗保健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3.1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%、其他用品和服务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0.4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%，衣着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下降3.4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%、交通和通信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降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1.7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331845"/>
            <wp:effectExtent l="0" t="0" r="10160" b="1905"/>
            <wp:docPr id="1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18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</w:pP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3533775" cy="4133850"/>
            <wp:effectExtent l="0" t="0" r="9525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</w:pP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</w:pPr>
    </w:p>
    <w:p>
      <w:pPr>
        <w:pStyle w:val="7"/>
        <w:jc w:val="center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对外经济</w:t>
      </w:r>
    </w:p>
    <w:p>
      <w:pPr>
        <w:pStyle w:val="7"/>
        <w:ind w:firstLine="640" w:firstLineChars="200"/>
        <w:jc w:val="both"/>
        <w:rPr>
          <w:color w:val="auto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全年共签约各类招商引资项目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479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个，涉及金额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1227.01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亿元。其中合同项目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个，涉及金额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485.92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亿元；全年实际到位资金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338.15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亿元。</w:t>
      </w:r>
    </w:p>
    <w:p>
      <w:pPr>
        <w:pStyle w:val="7"/>
        <w:ind w:firstLine="640" w:firstLineChars="200"/>
        <w:jc w:val="both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全年实现对外进出口总额69840万元，增长78.8%，进口46088万元，增长563.1%，出口23752万元，下降26.0%。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七、交通和邮电业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公路客货周转量103.09亿吨公里，比上年增长5.6%。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年末境内公路总里程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4453.17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公里，其中国道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397.24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公里（高速公路243.99公里），省道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32.09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公里，县道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643.18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公里，乡道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1021.60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公里，村道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1959.07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公里。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全市民用车辆拥有量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4.46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万辆，其中汽车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10.57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辆。</w:t>
      </w:r>
    </w:p>
    <w:p>
      <w:pPr>
        <w:widowControl/>
        <w:jc w:val="center"/>
        <w:rPr>
          <w:rFonts w:ascii="宋体" w:hAnsi="宋体" w:eastAsia="宋体" w:cs="宋体"/>
          <w:kern w:val="0"/>
          <w:sz w:val="24"/>
          <w:szCs w:val="24"/>
        </w:rPr>
      </w:pPr>
      <w:r>
        <w:drawing>
          <wp:inline distT="0" distB="0" distL="114300" distR="114300">
            <wp:extent cx="4819650" cy="3219450"/>
            <wp:effectExtent l="0" t="0" r="0" b="0"/>
            <wp:docPr id="2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全年邮政企业和规模以上快递服务企业业务总量完成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21349.29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万元，比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增长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4.82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%；业务总收入（不包括邮政储蓄银行直接营业收入）完成1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6629.33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17.71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全年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快递服务企业业务量完成434.56万件，增长22.76%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业务收入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6344.28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37.09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%。年末移动电话用户79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万户，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普及率9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9.1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/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百人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其中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4G用户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4.1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万户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普及率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达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79.7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/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百人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；固定互联网宽带接入用户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5.30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万户。</w:t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八、财政、金融和保险业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全年地方一般公共预算收入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25.01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亿元，其中税收收入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15.95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亿元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；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地方一般公共预算支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出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31.75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亿元，其中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一般公共服务支出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5.96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亿元，教育支出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20.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亿元，文化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旅游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体育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与传媒支出4.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2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社会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保障和就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业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支出1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5.16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卫生健康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支出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12.45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亿元，节能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环保支出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6.49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城乡社区支出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1.81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交通运输支出3.57亿元，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住房保障支出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.7</w:t>
      </w:r>
      <w:r>
        <w:rPr>
          <w:rFonts w:ascii="仿宋_GB2312" w:eastAsia="仿宋_GB2312" w:hAnsiTheme="minorHAnsi" w:cstheme="minorBidi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亿元。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583940"/>
            <wp:effectExtent l="0" t="0" r="10160" b="16510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8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年末金融机构人民币各项存款余额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631.10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亿元，较年初新增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63.76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亿元，比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11.2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%；各项贷款余额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306.42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亿元，较年初新增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32.58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亿元，增长1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1.9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其中短期贷款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46.90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亿元，中长期贷款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219.72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亿元。证券机构累计成交量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256.45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28.4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%；客户资产量1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4.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65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亿元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增长1.3%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。</w:t>
      </w:r>
    </w:p>
    <w:p>
      <w:pPr>
        <w:pStyle w:val="7"/>
        <w:ind w:firstLine="640" w:firstLineChars="200"/>
        <w:jc w:val="both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全年保险业实现保费收入1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6.95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亿元，比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上年下降5.4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%；其中财产险保费收入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5.08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增长16.8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%；人寿险保费收入1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1.86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下降12.6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%。保险业累计赔付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3.36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12.8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%；其中财产险赔付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2.98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亿元，增长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5.5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%，人寿险赔付0.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下降5.0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%。</w:t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both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九、教育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科学技术</w:t>
      </w:r>
    </w:p>
    <w:p>
      <w:pPr>
        <w:pStyle w:val="7"/>
        <w:ind w:firstLine="640" w:firstLineChars="200"/>
        <w:jc w:val="both"/>
        <w:rPr>
          <w:rFonts w:eastAsia="仿宋_GB2312"/>
          <w:color w:val="auto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拥有各类中小学校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119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所，在校学生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7.1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万人；其中普通高中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1.18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万人，普通初中1.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79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万人，普通小学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4.15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万人。特殊教育学校在校学生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人，职业高中1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79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人。各类幼儿园1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所，其中公办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所，民办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所；在园幼儿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2.13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万人。高考二本上线人数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638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人，上线率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6.91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%，较上年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降低0.5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个百分点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。铜川职业技术学院20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年招生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4385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人，毕业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1765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。</w:t>
      </w:r>
    </w:p>
    <w:p>
      <w:pPr>
        <w:pStyle w:val="7"/>
        <w:widowControl w:val="0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全市科技型中小企业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57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家，比上年增加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家；高新技术企业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28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家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，比上年增加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家；推广转化科技成果1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项，杨凌农高会后稷奖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项。成功申报2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02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年省级科技计划项目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35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个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。受理专利申请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371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件，其中专利授权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99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件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；受理发明申请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39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件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，其中发明授权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件。201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年全市研究与实验发展（R&amp;D）经费支出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1.23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亿元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。</w:t>
      </w:r>
    </w:p>
    <w:p>
      <w:pPr>
        <w:pStyle w:val="7"/>
        <w:jc w:val="center"/>
        <w:rPr>
          <w:rFonts w:hint="eastAsia" w:ascii="宋体" w:hAnsi="宋体" w:eastAsia="宋体"/>
          <w:color w:val="auto"/>
          <w:sz w:val="27"/>
          <w:szCs w:val="27"/>
        </w:rPr>
      </w:pPr>
      <w:r>
        <w:rPr>
          <w:rFonts w:hint="eastAsia" w:ascii="宋体" w:hAnsi="宋体" w:eastAsia="宋体"/>
          <w:color w:val="auto"/>
          <w:sz w:val="27"/>
          <w:szCs w:val="27"/>
        </w:rPr>
        <w:t> </w:t>
      </w: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宋体" w:hAnsi="宋体" w:eastAsia="宋体"/>
          <w:color w:val="auto"/>
          <w:sz w:val="27"/>
          <w:szCs w:val="27"/>
        </w:rPr>
        <w:t> 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十、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文化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旅游和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档案</w:t>
      </w:r>
    </w:p>
    <w:p>
      <w:pPr>
        <w:pStyle w:val="7"/>
        <w:ind w:firstLine="640" w:firstLineChars="200"/>
        <w:jc w:val="both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全市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共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有市级广播电视台1个，县级广播电台2个；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艺术表演团体2个，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文化馆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个，文化站3</w:t>
      </w:r>
      <w:r>
        <w:rPr>
          <w:rFonts w:ascii="仿宋_GB2312" w:eastAsia="仿宋_GB2312" w:cs="仿宋_GB2312"/>
          <w:color w:val="auto"/>
          <w:sz w:val="32"/>
          <w:szCs w:val="32"/>
        </w:rPr>
        <w:t>8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个，公共图书馆5个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图书总藏量69.59万册。</w:t>
      </w:r>
    </w:p>
    <w:p>
      <w:pPr>
        <w:pStyle w:val="2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全市文化及相关产业市场主体1024户，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增长19.1%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规上文化企业52户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 w:cs="仿宋_GB2312"/>
          <w:kern w:val="0"/>
          <w:sz w:val="32"/>
          <w:szCs w:val="32"/>
          <w:lang w:val="en-US" w:eastAsia="zh-CN"/>
        </w:rPr>
        <w:t>耀州窑文化基地被认定为陕西省文化产业“十百千”重点园区。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耀州陶瓷工业遗产群确定为第四批国家工业遗产。</w:t>
      </w:r>
      <w:r>
        <w:rPr>
          <w:rFonts w:hint="eastAsia" w:ascii="仿宋_GB2312" w:eastAsia="仿宋_GB2312"/>
          <w:snapToGrid/>
          <w:sz w:val="32"/>
          <w:szCs w:val="32"/>
          <w:lang w:val="en-US" w:eastAsia="zh-CN"/>
        </w:rPr>
        <w:t>电影《我在耀瓷小镇等你》入围“首届美丽乡村国际影像节”，话剧《春满铜城》荣获第九届陕西省艺术节“文华剧目奖”。</w:t>
      </w:r>
    </w:p>
    <w:p>
      <w:pPr>
        <w:pStyle w:val="7"/>
        <w:widowControl w:val="0"/>
        <w:ind w:firstLine="640" w:firstLineChars="200"/>
        <w:jc w:val="both"/>
        <w:rPr>
          <w:rFonts w:hint="default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全年共接待游客947.46万人次，比上年下降61.9%。实现旅游综合收入52.60亿元，下降67.7%。</w:t>
      </w:r>
    </w:p>
    <w:p>
      <w:pPr>
        <w:pStyle w:val="7"/>
        <w:widowControl w:val="0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有综合档案馆5个，专业档案馆1个，大型企业档案馆1个；年末馆藏全宗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617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个，馆藏案卷3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7.06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万卷，保管档案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74.85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万件，馆藏资料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5.12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万册。</w:t>
      </w:r>
    </w:p>
    <w:p>
      <w:pPr>
        <w:pStyle w:val="7"/>
        <w:ind w:firstLine="640" w:firstLineChars="200"/>
        <w:jc w:val="both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、卫生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体育</w:t>
      </w:r>
    </w:p>
    <w:p>
      <w:pPr>
        <w:pStyle w:val="7"/>
        <w:widowControl w:val="0"/>
        <w:ind w:firstLine="640" w:firstLineChars="200"/>
        <w:jc w:val="both"/>
        <w:rPr>
          <w:color w:val="FF0000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全年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有各类卫生机构8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59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个；其中医院4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个，社区卫生服务中心（站）4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个，卫生院33个，村卫生室54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个，诊所（卫生所、医务室）18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个，疾病预防控制中心（卫生防疫站）5个，妇幼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卫生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保健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机构6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个，卫生监督所（中心）5个。各类卫生机构拥有病床6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840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张，各类卫生技术人员9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721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人，其中执业医师、执业助理医师2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786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人，注册护士4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203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人，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疾病预防控制和专科疾病防治机构卫生技术人员269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人，妇幼卫生机构卫生技术人员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470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人。</w:t>
      </w:r>
    </w:p>
    <w:p>
      <w:pPr>
        <w:pStyle w:val="7"/>
        <w:widowControl w:val="0"/>
        <w:ind w:firstLine="640" w:firstLineChars="200"/>
        <w:jc w:val="both"/>
        <w:rPr>
          <w:rFonts w:hint="default" w:ascii="宋体" w:hAnsi="宋体" w:eastAsia="仿宋_GB2312"/>
          <w:color w:val="auto"/>
          <w:sz w:val="27"/>
          <w:szCs w:val="27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成功举办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中国职工乒乓球联赛总决赛、全国男子篮球联赛、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陕西省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青少年篮球羽毛球锦标赛、陕西省男子篮球城际联赛等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一系列重大活动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全市举办各类大型群众体育竞赛活动35次，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组团参加全省第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十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七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届运动会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年度比赛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获得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奖牌6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1枚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，其中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金牌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枚。全年销售体育彩票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8867万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元。</w:t>
      </w:r>
    </w:p>
    <w:p>
      <w:pPr>
        <w:pStyle w:val="7"/>
        <w:widowControl w:val="0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pStyle w:val="7"/>
        <w:widowControl w:val="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、环境保护和安全生产</w:t>
      </w:r>
    </w:p>
    <w:p>
      <w:pPr>
        <w:pStyle w:val="7"/>
        <w:widowControl w:val="0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全年空气优良天数2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6天，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比上年增加20天，空气质量综合指数4.5，比上年改善9.8%，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PM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vertAlign w:val="subscript"/>
        </w:rPr>
        <w:t>2.5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浓度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下降8.5%，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</w:rPr>
        <w:t>PM</w:t>
      </w:r>
      <w:r>
        <w:rPr>
          <w:rFonts w:hint="eastAsia" w:ascii="仿宋_GB2312" w:hAnsi="仿宋_GB2312" w:eastAsia="仿宋_GB2312" w:cs="仿宋_GB2312"/>
          <w:bCs/>
          <w:color w:val="auto"/>
          <w:sz w:val="30"/>
          <w:szCs w:val="30"/>
          <w:vertAlign w:val="subscript"/>
          <w:lang w:val="en-US" w:eastAsia="zh-CN"/>
        </w:rPr>
        <w:t>10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浓度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下降11.3%。</w:t>
      </w:r>
    </w:p>
    <w:p>
      <w:pPr>
        <w:pStyle w:val="7"/>
        <w:ind w:firstLine="640" w:firstLineChars="200"/>
        <w:jc w:val="both"/>
        <w:rPr>
          <w:color w:val="auto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全年生产安全事故起数4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起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，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比上年下降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4.6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%，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事故总量连续4年保持下降态势。</w:t>
      </w:r>
    </w:p>
    <w:p>
      <w:pPr>
        <w:pStyle w:val="7"/>
        <w:jc w:val="center"/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</w:pPr>
    </w:p>
    <w:p>
      <w:pPr>
        <w:pStyle w:val="7"/>
        <w:jc w:val="center"/>
        <w:rPr>
          <w:rFonts w:ascii="仿宋_GB2312" w:eastAsia="仿宋_GB2312" w:hAnsiTheme="minorHAnsi" w:cstheme="minorBidi"/>
          <w:b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十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 w:hAnsiTheme="minorHAnsi" w:cstheme="minorBidi"/>
          <w:b/>
          <w:kern w:val="2"/>
          <w:sz w:val="32"/>
          <w:szCs w:val="32"/>
        </w:rPr>
        <w:t>、人民生活和社会保障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宋体" w:hAnsi="宋体" w:eastAsia="宋体"/>
          <w:color w:val="FF0000"/>
          <w:sz w:val="27"/>
          <w:szCs w:val="27"/>
        </w:rPr>
        <w:t>  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全年居民人均可支配收入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5293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元，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5.8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%。其中城镇常住居民人均可支配收入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4143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5.0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%；农村常住居民人均可支配收入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11054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元，增长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8.1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557905"/>
            <wp:effectExtent l="0" t="0" r="10160" b="4445"/>
            <wp:docPr id="14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57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720" w:firstLineChars="300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注:2018年全省对上年同期数进行修订。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城镇新增就业人员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103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人，城镇登记失业率3.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%，下岗失业人员实现再就业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6118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人，转移农村劳动力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10.19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万人，新增公益性岗位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105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个。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ascii="仿宋_GB2312" w:eastAsia="仿宋_GB2312" w:hAnsiTheme="minorHAnsi" w:cstheme="minorBidi"/>
          <w:kern w:val="2"/>
          <w:sz w:val="32"/>
          <w:szCs w:val="32"/>
          <w:highlight w:val="lightGray"/>
        </w:rPr>
      </w:pP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参加城镇职工基本养老保险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1.35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参加基本养老保险的离退休人员9.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98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万人，参加城镇居民基本养老保险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2.01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万人，参加农村居民基本养老保险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28.63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万人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  <w:lang w:val="en-US" w:eastAsia="zh-CN"/>
        </w:rPr>
        <w:t>参加失业保险职工8.22万人。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参加基本医疗保险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75.97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万人，其中城镇职工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20.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万人，城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乡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居民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55.76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万人。</w:t>
      </w:r>
    </w:p>
    <w:p>
      <w:pPr>
        <w:pStyle w:val="7"/>
        <w:ind w:firstLine="640" w:firstLineChars="200"/>
        <w:jc w:val="both"/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全市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共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有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养老服务机构14个，床位2231张，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个</w:t>
      </w:r>
      <w:r>
        <w:rPr>
          <w:rFonts w:ascii="仿宋_GB2312" w:eastAsia="仿宋_GB2312" w:hAnsiTheme="minorHAnsi" w:cstheme="minorBidi"/>
          <w:kern w:val="2"/>
          <w:sz w:val="32"/>
          <w:szCs w:val="32"/>
          <w:highlight w:val="none"/>
        </w:rPr>
        <w:t>城镇社区日间照料中心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  <w:lang w:val="en-US" w:eastAsia="zh-CN"/>
        </w:rPr>
        <w:t>,303个行政村建成389个农村互助幸福院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highlight w:val="none"/>
        </w:rPr>
        <w:t>。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highlight w:val="none"/>
        </w:rPr>
        <w:t>全市城乡居民最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低生活保障对象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2.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94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万人。自2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020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年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1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0月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1日起，最低生活保障城市居民每人每月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6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3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元，农村居民每人每年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4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83</w:t>
      </w:r>
      <w:r>
        <w:rPr>
          <w:rFonts w:ascii="仿宋_GB2312" w:eastAsia="仿宋_GB2312" w:hAnsiTheme="minorHAnsi" w:cstheme="minorBidi"/>
          <w:color w:val="auto"/>
          <w:kern w:val="2"/>
          <w:sz w:val="32"/>
          <w:szCs w:val="32"/>
        </w:rPr>
        <w:t>0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eastAsia="zh-CN"/>
        </w:rPr>
        <w:t>，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  <w:lang w:val="en-US" w:eastAsia="zh-CN"/>
        </w:rPr>
        <w:t>分别比上年度标准提高30元、480元</w:t>
      </w:r>
      <w:r>
        <w:rPr>
          <w:rFonts w:hint="eastAsia" w:ascii="仿宋_GB2312" w:eastAsia="仿宋_GB2312" w:hAnsiTheme="minorHAnsi" w:cstheme="minorBidi"/>
          <w:color w:val="auto"/>
          <w:kern w:val="2"/>
          <w:sz w:val="32"/>
          <w:szCs w:val="32"/>
        </w:rPr>
        <w:t>。</w:t>
      </w:r>
    </w:p>
    <w:p>
      <w:pPr>
        <w:pStyle w:val="7"/>
        <w:jc w:val="both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7"/>
        <w:jc w:val="both"/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注：1、本公报部分指标为初步统计数。部分数据因四舍五入原因，存在总计与分项合计不等的情况。</w:t>
      </w:r>
    </w:p>
    <w:p>
      <w:pPr>
        <w:pStyle w:val="7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　　2、生产总值、各产业增加值增长速度按不变价计算。全国经济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普查、农业普查后，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历史数据进行修订。</w:t>
      </w:r>
    </w:p>
    <w:p>
      <w:pPr>
        <w:pStyle w:val="7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　  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、全社会固定资产投资统计范围包括固定资产投资、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跨</w:t>
      </w:r>
      <w:r>
        <w:rPr>
          <w:rFonts w:hint="eastAsia" w:ascii="楷体_GB2312" w:eastAsia="楷体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地市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投资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和农户投资。固定资产投资统计范围包括项目投资和房地产开发投资。</w:t>
      </w:r>
    </w:p>
    <w:p>
      <w:pPr>
        <w:pStyle w:val="7"/>
        <w:ind w:firstLine="555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楷体_GB2312" w:eastAsia="楷体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根据国家统计局规定，</w:t>
      </w:r>
      <w:r>
        <w:rPr>
          <w:rFonts w:hint="eastAsia" w:ascii="楷体_GB2312" w:eastAsia="楷体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楷体_GB2312" w:eastAsia="楷体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五上</w:t>
      </w:r>
      <w:r>
        <w:rPr>
          <w:rFonts w:hint="eastAsia" w:ascii="楷体_GB2312" w:eastAsia="楷体_GB2312"/>
          <w:color w:val="000000" w:themeColor="text1"/>
          <w:sz w:val="28"/>
          <w:szCs w:val="21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楷体_GB2312" w:eastAsia="楷体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企业入统标准：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①规模以上工业企业是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指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年主营业务收入2000万元及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以上的工业企业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；②限额以上商贸业是指年主营业务收入2000万元及以上的批发业企业（单位）、500万元及以上的零售业企业（单位）、200万元及以上的住宿和餐饮业企业（单</w:t>
      </w:r>
      <w:r>
        <w:rPr>
          <w:rFonts w:hint="eastAsia" w:ascii="楷体_GB2312" w:eastAsia="楷体_GB2312"/>
          <w:sz w:val="28"/>
          <w:szCs w:val="21"/>
        </w:rPr>
        <w:t>位）。③规模以上服务业是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指年营业收入2000万元及以上服务业企业，包括交通运输、仓储和邮政业，信息传输、软件和信息技术服务业，水利、环境和公共设施管理业三个门类和卫生行业大类；年营业收入1000</w:t>
      </w:r>
      <w:r>
        <w:rPr>
          <w:rFonts w:hint="eastAsia" w:ascii="楷体_GB2312" w:eastAsia="楷体_GB2312"/>
          <w:color w:val="000000" w:themeColor="text1"/>
          <w:sz w:val="28"/>
          <w:szCs w:val="21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元及以上服务业企业，包括租赁和商务服务业，科学研究和技术服务业教育二个门类和物业管理、房地产中介服务、房地产租赁经营和其他房地产业四个大类；年营业收入500万元及以上服务业企业，包括居民服务、修理和其他服务业，文化、体育和娱乐业三个门类和社会工作大类。④有资质的建筑业是指有总承包、专业承包和劳务分包资质的建筑业企业。⑤房地产开发经营业是指全部房地产开发经营业企业。</w:t>
      </w:r>
    </w:p>
    <w:p>
      <w:pPr>
        <w:pStyle w:val="7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    </w:t>
      </w:r>
      <w:r>
        <w:rPr>
          <w:rFonts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>5、本公报由铜川市统计局、国家统计局铜川调查队共同完成。</w:t>
      </w:r>
    </w:p>
    <w:p>
      <w:pPr>
        <w:pStyle w:val="7"/>
        <w:jc w:val="both"/>
        <w:rPr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eastAsia="楷体_GB2312"/>
          <w:color w:val="000000" w:themeColor="text1"/>
          <w:sz w:val="28"/>
          <w:szCs w:val="21"/>
          <w14:textFill>
            <w14:solidFill>
              <w14:schemeClr w14:val="tx1"/>
            </w14:solidFill>
          </w14:textFill>
        </w:rPr>
        <w:t xml:space="preserve">    </w:t>
      </w:r>
    </w:p>
    <w:p>
      <w:pPr>
        <w:pStyle w:val="7"/>
        <w:ind w:firstLine="560" w:firstLineChars="200"/>
        <w:jc w:val="both"/>
        <w:rPr>
          <w:rFonts w:hint="eastAsia" w:ascii="楷体_GB2312" w:eastAsia="楷体_GB2312"/>
          <w:sz w:val="28"/>
          <w:szCs w:val="21"/>
        </w:rPr>
      </w:pPr>
      <w:r>
        <w:rPr>
          <w:rFonts w:hint="eastAsia" w:ascii="楷体_GB2312" w:eastAsia="楷体_GB2312"/>
          <w:sz w:val="28"/>
          <w:szCs w:val="21"/>
        </w:rPr>
        <w:t>资料来源：本公报中居民</w:t>
      </w:r>
      <w:r>
        <w:rPr>
          <w:rFonts w:ascii="楷体_GB2312" w:eastAsia="楷体_GB2312"/>
          <w:sz w:val="28"/>
          <w:szCs w:val="21"/>
        </w:rPr>
        <w:t>人均可支配收入数据来自国家统计局铜川调查队；</w:t>
      </w:r>
      <w:r>
        <w:rPr>
          <w:rFonts w:hint="eastAsia" w:ascii="楷体_GB2312" w:eastAsia="楷体_GB2312"/>
          <w:sz w:val="28"/>
          <w:szCs w:val="21"/>
        </w:rPr>
        <w:t>物价数据来自</w:t>
      </w:r>
      <w:r>
        <w:rPr>
          <w:rFonts w:hint="eastAsia" w:ascii="楷体_GB2312" w:eastAsia="楷体_GB2312"/>
          <w:sz w:val="28"/>
          <w:szCs w:val="21"/>
          <w:lang w:val="en-US" w:eastAsia="zh-CN"/>
        </w:rPr>
        <w:t>陕西</w:t>
      </w:r>
      <w:r>
        <w:rPr>
          <w:rFonts w:hint="eastAsia" w:ascii="楷体_GB2312" w:eastAsia="楷体_GB2312"/>
          <w:sz w:val="28"/>
          <w:szCs w:val="21"/>
        </w:rPr>
        <w:t>省统计局铜川社会经济调查队；</w:t>
      </w:r>
      <w:r>
        <w:rPr>
          <w:rFonts w:hint="eastAsia" w:ascii="楷体_GB2312" w:eastAsia="楷体_GB2312"/>
          <w:sz w:val="28"/>
          <w:szCs w:val="21"/>
          <w:lang w:val="en-US" w:eastAsia="zh-CN"/>
        </w:rPr>
        <w:t>招商数据来自市对外经济合作中心；</w:t>
      </w:r>
      <w:r>
        <w:rPr>
          <w:rFonts w:hint="eastAsia" w:ascii="楷体_GB2312" w:eastAsia="楷体_GB2312"/>
          <w:sz w:val="28"/>
          <w:szCs w:val="21"/>
        </w:rPr>
        <w:t>进出口数据来自西安海关；公路数据来自市交通运输局；邮政数据来自市邮政管理局；通信</w:t>
      </w:r>
      <w:r>
        <w:rPr>
          <w:rFonts w:ascii="楷体_GB2312" w:eastAsia="楷体_GB2312"/>
          <w:sz w:val="28"/>
          <w:szCs w:val="21"/>
        </w:rPr>
        <w:t>数据来自省通信管理局《</w:t>
      </w:r>
      <w:r>
        <w:rPr>
          <w:rFonts w:hint="eastAsia" w:ascii="楷体_GB2312" w:eastAsia="楷体_GB2312"/>
          <w:sz w:val="28"/>
          <w:szCs w:val="21"/>
        </w:rPr>
        <w:t>20</w:t>
      </w:r>
      <w:r>
        <w:rPr>
          <w:rFonts w:hint="eastAsia" w:ascii="楷体_GB2312" w:eastAsia="楷体_GB2312"/>
          <w:sz w:val="28"/>
          <w:szCs w:val="21"/>
          <w:lang w:val="en-US" w:eastAsia="zh-CN"/>
        </w:rPr>
        <w:t>20</w:t>
      </w:r>
      <w:r>
        <w:rPr>
          <w:rFonts w:hint="eastAsia" w:ascii="楷体_GB2312" w:eastAsia="楷体_GB2312"/>
          <w:sz w:val="28"/>
          <w:szCs w:val="21"/>
        </w:rPr>
        <w:t>年</w:t>
      </w:r>
      <w:r>
        <w:rPr>
          <w:rFonts w:ascii="楷体_GB2312" w:eastAsia="楷体_GB2312"/>
          <w:sz w:val="28"/>
          <w:szCs w:val="21"/>
        </w:rPr>
        <w:t>陕西通信业统计公报》</w:t>
      </w:r>
      <w:r>
        <w:rPr>
          <w:rFonts w:hint="eastAsia" w:ascii="楷体_GB2312" w:eastAsia="楷体_GB2312"/>
          <w:sz w:val="28"/>
          <w:szCs w:val="21"/>
        </w:rPr>
        <w:t>；财政数据来自市财政局；金融数据、证券</w:t>
      </w:r>
      <w:r>
        <w:rPr>
          <w:rFonts w:ascii="楷体_GB2312" w:eastAsia="楷体_GB2312"/>
          <w:sz w:val="28"/>
          <w:szCs w:val="21"/>
        </w:rPr>
        <w:t>数据</w:t>
      </w:r>
      <w:r>
        <w:rPr>
          <w:rFonts w:hint="eastAsia" w:ascii="楷体_GB2312" w:eastAsia="楷体_GB2312"/>
          <w:sz w:val="28"/>
          <w:szCs w:val="21"/>
        </w:rPr>
        <w:t>、保险数据来自人民银行铜川中心支行；教育数据来自市教育局；科技</w:t>
      </w:r>
      <w:r>
        <w:rPr>
          <w:rFonts w:hint="eastAsia" w:ascii="楷体_GB2312" w:eastAsia="楷体_GB2312"/>
          <w:sz w:val="28"/>
          <w:szCs w:val="21"/>
          <w:lang w:val="en-US" w:eastAsia="zh-CN"/>
        </w:rPr>
        <w:t>数据</w:t>
      </w:r>
      <w:r>
        <w:rPr>
          <w:rFonts w:hint="eastAsia" w:ascii="楷体_GB2312" w:eastAsia="楷体_GB2312"/>
          <w:sz w:val="28"/>
          <w:szCs w:val="21"/>
        </w:rPr>
        <w:t>来自市科学技术局；专利数据来自市市场监督管理局；文化数据、旅游数据来自</w:t>
      </w:r>
      <w:r>
        <w:rPr>
          <w:rFonts w:hint="eastAsia" w:ascii="楷体_GB2312" w:eastAsia="楷体_GB2312"/>
          <w:sz w:val="28"/>
          <w:szCs w:val="21"/>
          <w:highlight w:val="none"/>
        </w:rPr>
        <w:t>市委宣传部、市</w:t>
      </w:r>
      <w:r>
        <w:rPr>
          <w:rFonts w:hint="eastAsia" w:ascii="楷体_GB2312" w:eastAsia="楷体_GB2312"/>
          <w:sz w:val="28"/>
          <w:szCs w:val="21"/>
        </w:rPr>
        <w:t>文化</w:t>
      </w:r>
      <w:r>
        <w:rPr>
          <w:rFonts w:ascii="楷体_GB2312" w:eastAsia="楷体_GB2312"/>
          <w:sz w:val="28"/>
          <w:szCs w:val="21"/>
        </w:rPr>
        <w:t>和</w:t>
      </w:r>
      <w:r>
        <w:rPr>
          <w:rFonts w:hint="eastAsia" w:ascii="楷体_GB2312" w:eastAsia="楷体_GB2312"/>
          <w:sz w:val="28"/>
          <w:szCs w:val="21"/>
        </w:rPr>
        <w:t>旅游局；档案数据来自市档案局；卫生数据来自市卫生健康</w:t>
      </w:r>
      <w:r>
        <w:rPr>
          <w:rFonts w:ascii="楷体_GB2312" w:eastAsia="楷体_GB2312"/>
          <w:sz w:val="28"/>
          <w:szCs w:val="21"/>
        </w:rPr>
        <w:t>委员会</w:t>
      </w:r>
      <w:r>
        <w:rPr>
          <w:rFonts w:hint="eastAsia" w:ascii="楷体_GB2312" w:eastAsia="楷体_GB2312"/>
          <w:sz w:val="28"/>
          <w:szCs w:val="21"/>
        </w:rPr>
        <w:t>；体育</w:t>
      </w:r>
      <w:r>
        <w:rPr>
          <w:rFonts w:ascii="楷体_GB2312" w:eastAsia="楷体_GB2312"/>
          <w:sz w:val="28"/>
          <w:szCs w:val="21"/>
        </w:rPr>
        <w:t>数据来自市体育局；</w:t>
      </w:r>
      <w:r>
        <w:rPr>
          <w:rFonts w:hint="eastAsia" w:ascii="楷体_GB2312" w:eastAsia="楷体_GB2312"/>
          <w:sz w:val="28"/>
          <w:szCs w:val="21"/>
        </w:rPr>
        <w:t>环保数据来自市生态环境局；安全生产</w:t>
      </w:r>
      <w:r>
        <w:rPr>
          <w:rFonts w:ascii="楷体_GB2312" w:eastAsia="楷体_GB2312"/>
          <w:sz w:val="28"/>
          <w:szCs w:val="21"/>
        </w:rPr>
        <w:t>数据来自市应急管理局；</w:t>
      </w:r>
      <w:r>
        <w:rPr>
          <w:rFonts w:hint="eastAsia" w:ascii="楷体_GB2312" w:eastAsia="楷体_GB2312"/>
          <w:sz w:val="28"/>
          <w:szCs w:val="21"/>
        </w:rPr>
        <w:t>城镇就业、社会保障数据来自市人力资源和社会保障局；社会福利数据来自市民政局；其他数据均来自市统计局。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01"/>
    <w:rsid w:val="000068F5"/>
    <w:rsid w:val="00007DAE"/>
    <w:rsid w:val="00010011"/>
    <w:rsid w:val="0001262A"/>
    <w:rsid w:val="00016F7B"/>
    <w:rsid w:val="000200E4"/>
    <w:rsid w:val="00022E07"/>
    <w:rsid w:val="000254F8"/>
    <w:rsid w:val="00025E46"/>
    <w:rsid w:val="00032F89"/>
    <w:rsid w:val="00033F26"/>
    <w:rsid w:val="000509F9"/>
    <w:rsid w:val="0005133C"/>
    <w:rsid w:val="00056305"/>
    <w:rsid w:val="00062418"/>
    <w:rsid w:val="00064CC0"/>
    <w:rsid w:val="000831C4"/>
    <w:rsid w:val="000A0F3A"/>
    <w:rsid w:val="000A6E05"/>
    <w:rsid w:val="000C0159"/>
    <w:rsid w:val="000C13B7"/>
    <w:rsid w:val="000C5201"/>
    <w:rsid w:val="000D0902"/>
    <w:rsid w:val="000D1CE9"/>
    <w:rsid w:val="000E3D94"/>
    <w:rsid w:val="0010224B"/>
    <w:rsid w:val="0011421F"/>
    <w:rsid w:val="001147CB"/>
    <w:rsid w:val="00116B71"/>
    <w:rsid w:val="001224E2"/>
    <w:rsid w:val="00125646"/>
    <w:rsid w:val="00135165"/>
    <w:rsid w:val="001359A5"/>
    <w:rsid w:val="00135EC7"/>
    <w:rsid w:val="00137DAB"/>
    <w:rsid w:val="00141CDC"/>
    <w:rsid w:val="00146186"/>
    <w:rsid w:val="00147571"/>
    <w:rsid w:val="00151AF9"/>
    <w:rsid w:val="00152B65"/>
    <w:rsid w:val="00153FD3"/>
    <w:rsid w:val="00155B82"/>
    <w:rsid w:val="00164F61"/>
    <w:rsid w:val="001650BB"/>
    <w:rsid w:val="00166CD1"/>
    <w:rsid w:val="0017117F"/>
    <w:rsid w:val="00173B1E"/>
    <w:rsid w:val="00174215"/>
    <w:rsid w:val="0017781B"/>
    <w:rsid w:val="001801F6"/>
    <w:rsid w:val="00192D03"/>
    <w:rsid w:val="001B10BF"/>
    <w:rsid w:val="001B4A72"/>
    <w:rsid w:val="001C38BB"/>
    <w:rsid w:val="001C55E6"/>
    <w:rsid w:val="001D4732"/>
    <w:rsid w:val="001D7150"/>
    <w:rsid w:val="001E1EAA"/>
    <w:rsid w:val="001E32DF"/>
    <w:rsid w:val="001E788F"/>
    <w:rsid w:val="00202D4A"/>
    <w:rsid w:val="00207872"/>
    <w:rsid w:val="00220EA6"/>
    <w:rsid w:val="00233BB4"/>
    <w:rsid w:val="00240E92"/>
    <w:rsid w:val="00242750"/>
    <w:rsid w:val="002471D7"/>
    <w:rsid w:val="00250AF6"/>
    <w:rsid w:val="00253DC6"/>
    <w:rsid w:val="0025780B"/>
    <w:rsid w:val="00257D94"/>
    <w:rsid w:val="00262992"/>
    <w:rsid w:val="00271F0E"/>
    <w:rsid w:val="00275332"/>
    <w:rsid w:val="00275969"/>
    <w:rsid w:val="00286062"/>
    <w:rsid w:val="0029084A"/>
    <w:rsid w:val="002B221F"/>
    <w:rsid w:val="002B5AFE"/>
    <w:rsid w:val="002D3036"/>
    <w:rsid w:val="002E08AC"/>
    <w:rsid w:val="002E3845"/>
    <w:rsid w:val="002F4982"/>
    <w:rsid w:val="00302A60"/>
    <w:rsid w:val="003048F4"/>
    <w:rsid w:val="00316037"/>
    <w:rsid w:val="00323347"/>
    <w:rsid w:val="00326097"/>
    <w:rsid w:val="003341BE"/>
    <w:rsid w:val="0033676A"/>
    <w:rsid w:val="003422F3"/>
    <w:rsid w:val="00342ACD"/>
    <w:rsid w:val="00344EE7"/>
    <w:rsid w:val="00346C89"/>
    <w:rsid w:val="0034749F"/>
    <w:rsid w:val="00354581"/>
    <w:rsid w:val="00354859"/>
    <w:rsid w:val="00360D57"/>
    <w:rsid w:val="003704F9"/>
    <w:rsid w:val="00371E32"/>
    <w:rsid w:val="0037494A"/>
    <w:rsid w:val="003751C3"/>
    <w:rsid w:val="00380E62"/>
    <w:rsid w:val="00396AB7"/>
    <w:rsid w:val="003A7569"/>
    <w:rsid w:val="003A7BB2"/>
    <w:rsid w:val="003B0F6B"/>
    <w:rsid w:val="003B4E21"/>
    <w:rsid w:val="003B5391"/>
    <w:rsid w:val="003C52E8"/>
    <w:rsid w:val="003D2CA7"/>
    <w:rsid w:val="003D4C65"/>
    <w:rsid w:val="003E2FDC"/>
    <w:rsid w:val="003F76DE"/>
    <w:rsid w:val="00400780"/>
    <w:rsid w:val="00403208"/>
    <w:rsid w:val="00407495"/>
    <w:rsid w:val="0041706B"/>
    <w:rsid w:val="00417E6F"/>
    <w:rsid w:val="00422B42"/>
    <w:rsid w:val="004309C8"/>
    <w:rsid w:val="00432F67"/>
    <w:rsid w:val="0044109F"/>
    <w:rsid w:val="00442257"/>
    <w:rsid w:val="004528AC"/>
    <w:rsid w:val="00452D69"/>
    <w:rsid w:val="00457DDE"/>
    <w:rsid w:val="00466BC3"/>
    <w:rsid w:val="00471532"/>
    <w:rsid w:val="004857C9"/>
    <w:rsid w:val="00491616"/>
    <w:rsid w:val="004A2027"/>
    <w:rsid w:val="004B0A43"/>
    <w:rsid w:val="004C3359"/>
    <w:rsid w:val="004E1D8B"/>
    <w:rsid w:val="004E3442"/>
    <w:rsid w:val="004E3853"/>
    <w:rsid w:val="004E7D96"/>
    <w:rsid w:val="004F5503"/>
    <w:rsid w:val="004F5574"/>
    <w:rsid w:val="004F75DD"/>
    <w:rsid w:val="00500D5F"/>
    <w:rsid w:val="0050362B"/>
    <w:rsid w:val="00505898"/>
    <w:rsid w:val="00520DBA"/>
    <w:rsid w:val="00523B78"/>
    <w:rsid w:val="00527955"/>
    <w:rsid w:val="00533EF6"/>
    <w:rsid w:val="00534801"/>
    <w:rsid w:val="00535EA8"/>
    <w:rsid w:val="005401FC"/>
    <w:rsid w:val="005507FF"/>
    <w:rsid w:val="0055639C"/>
    <w:rsid w:val="00557EF9"/>
    <w:rsid w:val="00562402"/>
    <w:rsid w:val="00573612"/>
    <w:rsid w:val="005814EA"/>
    <w:rsid w:val="005912EE"/>
    <w:rsid w:val="005937B4"/>
    <w:rsid w:val="005A62D2"/>
    <w:rsid w:val="005B147C"/>
    <w:rsid w:val="005B5E45"/>
    <w:rsid w:val="005B74A0"/>
    <w:rsid w:val="005C2F29"/>
    <w:rsid w:val="005C458C"/>
    <w:rsid w:val="005C73E5"/>
    <w:rsid w:val="005D0274"/>
    <w:rsid w:val="005E6530"/>
    <w:rsid w:val="005F44DA"/>
    <w:rsid w:val="005F550B"/>
    <w:rsid w:val="00602086"/>
    <w:rsid w:val="00602519"/>
    <w:rsid w:val="0060350A"/>
    <w:rsid w:val="00613AED"/>
    <w:rsid w:val="00615CCB"/>
    <w:rsid w:val="00615FA8"/>
    <w:rsid w:val="00620823"/>
    <w:rsid w:val="006216A6"/>
    <w:rsid w:val="00626EF9"/>
    <w:rsid w:val="00646DBD"/>
    <w:rsid w:val="00647E36"/>
    <w:rsid w:val="00653411"/>
    <w:rsid w:val="00655CDA"/>
    <w:rsid w:val="00661297"/>
    <w:rsid w:val="00663A5E"/>
    <w:rsid w:val="006702F4"/>
    <w:rsid w:val="0068113B"/>
    <w:rsid w:val="00686DAE"/>
    <w:rsid w:val="006B1FBC"/>
    <w:rsid w:val="006D22C6"/>
    <w:rsid w:val="006D5168"/>
    <w:rsid w:val="006D55D5"/>
    <w:rsid w:val="006E7EBC"/>
    <w:rsid w:val="006F1AA3"/>
    <w:rsid w:val="006F69AC"/>
    <w:rsid w:val="00710735"/>
    <w:rsid w:val="007112A8"/>
    <w:rsid w:val="00713199"/>
    <w:rsid w:val="00714FDB"/>
    <w:rsid w:val="00716B7C"/>
    <w:rsid w:val="007217A3"/>
    <w:rsid w:val="00733D31"/>
    <w:rsid w:val="00734360"/>
    <w:rsid w:val="0074479F"/>
    <w:rsid w:val="00747200"/>
    <w:rsid w:val="00750685"/>
    <w:rsid w:val="00754126"/>
    <w:rsid w:val="00761FC2"/>
    <w:rsid w:val="00794EF0"/>
    <w:rsid w:val="00796C0C"/>
    <w:rsid w:val="007A4642"/>
    <w:rsid w:val="007A6F76"/>
    <w:rsid w:val="007A71F4"/>
    <w:rsid w:val="007A7976"/>
    <w:rsid w:val="007B3BED"/>
    <w:rsid w:val="007B6A15"/>
    <w:rsid w:val="007C3290"/>
    <w:rsid w:val="007C6628"/>
    <w:rsid w:val="007E2A6D"/>
    <w:rsid w:val="007E38A7"/>
    <w:rsid w:val="007E58A3"/>
    <w:rsid w:val="007E6DA0"/>
    <w:rsid w:val="007F1B26"/>
    <w:rsid w:val="007F2240"/>
    <w:rsid w:val="00800521"/>
    <w:rsid w:val="00812042"/>
    <w:rsid w:val="008271BD"/>
    <w:rsid w:val="00827F06"/>
    <w:rsid w:val="00834312"/>
    <w:rsid w:val="008366E8"/>
    <w:rsid w:val="00843248"/>
    <w:rsid w:val="00845BCA"/>
    <w:rsid w:val="008578BD"/>
    <w:rsid w:val="00861F2B"/>
    <w:rsid w:val="00873F6F"/>
    <w:rsid w:val="008749F9"/>
    <w:rsid w:val="00874EE4"/>
    <w:rsid w:val="00882DAA"/>
    <w:rsid w:val="00884C4A"/>
    <w:rsid w:val="00885B94"/>
    <w:rsid w:val="0088650B"/>
    <w:rsid w:val="0089389F"/>
    <w:rsid w:val="0089498E"/>
    <w:rsid w:val="00894FF4"/>
    <w:rsid w:val="008B19BA"/>
    <w:rsid w:val="008B6309"/>
    <w:rsid w:val="008C197F"/>
    <w:rsid w:val="008C4EF0"/>
    <w:rsid w:val="008D4FCE"/>
    <w:rsid w:val="008E377A"/>
    <w:rsid w:val="008E4A52"/>
    <w:rsid w:val="008F2A5D"/>
    <w:rsid w:val="008F3DD1"/>
    <w:rsid w:val="00902C6D"/>
    <w:rsid w:val="00914785"/>
    <w:rsid w:val="00920D1F"/>
    <w:rsid w:val="009249DD"/>
    <w:rsid w:val="009277C2"/>
    <w:rsid w:val="0093588B"/>
    <w:rsid w:val="00944194"/>
    <w:rsid w:val="00951838"/>
    <w:rsid w:val="00957366"/>
    <w:rsid w:val="00957975"/>
    <w:rsid w:val="00957F1A"/>
    <w:rsid w:val="009609E1"/>
    <w:rsid w:val="00962879"/>
    <w:rsid w:val="00964D26"/>
    <w:rsid w:val="00965187"/>
    <w:rsid w:val="00967A19"/>
    <w:rsid w:val="00975849"/>
    <w:rsid w:val="00985406"/>
    <w:rsid w:val="009A646F"/>
    <w:rsid w:val="009B0F22"/>
    <w:rsid w:val="009B45E8"/>
    <w:rsid w:val="009B7BAC"/>
    <w:rsid w:val="009C4EFD"/>
    <w:rsid w:val="009C7041"/>
    <w:rsid w:val="009C781F"/>
    <w:rsid w:val="009D280F"/>
    <w:rsid w:val="009D7230"/>
    <w:rsid w:val="009E2E7B"/>
    <w:rsid w:val="009E6B44"/>
    <w:rsid w:val="009E7157"/>
    <w:rsid w:val="009F2065"/>
    <w:rsid w:val="009F53C0"/>
    <w:rsid w:val="00A0316A"/>
    <w:rsid w:val="00A06D59"/>
    <w:rsid w:val="00A2052C"/>
    <w:rsid w:val="00A2365A"/>
    <w:rsid w:val="00A23C95"/>
    <w:rsid w:val="00A251AC"/>
    <w:rsid w:val="00A3501C"/>
    <w:rsid w:val="00A47330"/>
    <w:rsid w:val="00A5038D"/>
    <w:rsid w:val="00A518CC"/>
    <w:rsid w:val="00A61F7B"/>
    <w:rsid w:val="00A62980"/>
    <w:rsid w:val="00A63C7B"/>
    <w:rsid w:val="00A66B59"/>
    <w:rsid w:val="00A727F3"/>
    <w:rsid w:val="00A76073"/>
    <w:rsid w:val="00A863CC"/>
    <w:rsid w:val="00A8731B"/>
    <w:rsid w:val="00A90796"/>
    <w:rsid w:val="00AB4627"/>
    <w:rsid w:val="00AC06C0"/>
    <w:rsid w:val="00AC21EF"/>
    <w:rsid w:val="00AD4C9D"/>
    <w:rsid w:val="00AE0941"/>
    <w:rsid w:val="00AE1A7E"/>
    <w:rsid w:val="00AF103A"/>
    <w:rsid w:val="00AF1AD0"/>
    <w:rsid w:val="00B11422"/>
    <w:rsid w:val="00B17259"/>
    <w:rsid w:val="00B23B18"/>
    <w:rsid w:val="00B251DC"/>
    <w:rsid w:val="00B44C9B"/>
    <w:rsid w:val="00B622CA"/>
    <w:rsid w:val="00B64848"/>
    <w:rsid w:val="00B72DA4"/>
    <w:rsid w:val="00B7345A"/>
    <w:rsid w:val="00B73B07"/>
    <w:rsid w:val="00B754B5"/>
    <w:rsid w:val="00B849D1"/>
    <w:rsid w:val="00B90618"/>
    <w:rsid w:val="00B91C30"/>
    <w:rsid w:val="00B92C25"/>
    <w:rsid w:val="00BA25E1"/>
    <w:rsid w:val="00BA3FE8"/>
    <w:rsid w:val="00BA4D2C"/>
    <w:rsid w:val="00BA6495"/>
    <w:rsid w:val="00BB14EC"/>
    <w:rsid w:val="00BC6FA3"/>
    <w:rsid w:val="00BD44E4"/>
    <w:rsid w:val="00BE50A9"/>
    <w:rsid w:val="00C05566"/>
    <w:rsid w:val="00C07C9E"/>
    <w:rsid w:val="00C26E0D"/>
    <w:rsid w:val="00C30B28"/>
    <w:rsid w:val="00C35D06"/>
    <w:rsid w:val="00C42895"/>
    <w:rsid w:val="00C428C5"/>
    <w:rsid w:val="00C55BD8"/>
    <w:rsid w:val="00C61416"/>
    <w:rsid w:val="00C6259E"/>
    <w:rsid w:val="00C62A8F"/>
    <w:rsid w:val="00C72483"/>
    <w:rsid w:val="00C81616"/>
    <w:rsid w:val="00C82982"/>
    <w:rsid w:val="00C84130"/>
    <w:rsid w:val="00C91BA8"/>
    <w:rsid w:val="00C932A6"/>
    <w:rsid w:val="00C95435"/>
    <w:rsid w:val="00C97ED8"/>
    <w:rsid w:val="00CA1F7F"/>
    <w:rsid w:val="00CA3862"/>
    <w:rsid w:val="00CB2C23"/>
    <w:rsid w:val="00CB328F"/>
    <w:rsid w:val="00CB729B"/>
    <w:rsid w:val="00CD7686"/>
    <w:rsid w:val="00CE5F88"/>
    <w:rsid w:val="00D0187B"/>
    <w:rsid w:val="00D05E63"/>
    <w:rsid w:val="00D06125"/>
    <w:rsid w:val="00D176B8"/>
    <w:rsid w:val="00D20A83"/>
    <w:rsid w:val="00D37F02"/>
    <w:rsid w:val="00D40C5E"/>
    <w:rsid w:val="00D47F9A"/>
    <w:rsid w:val="00D5592A"/>
    <w:rsid w:val="00D7208B"/>
    <w:rsid w:val="00D80844"/>
    <w:rsid w:val="00D836FA"/>
    <w:rsid w:val="00D84C8E"/>
    <w:rsid w:val="00D84D2D"/>
    <w:rsid w:val="00D85BA2"/>
    <w:rsid w:val="00D87993"/>
    <w:rsid w:val="00D90393"/>
    <w:rsid w:val="00D93A3A"/>
    <w:rsid w:val="00DA7D46"/>
    <w:rsid w:val="00DB11B4"/>
    <w:rsid w:val="00DB247E"/>
    <w:rsid w:val="00DB592C"/>
    <w:rsid w:val="00DB70AF"/>
    <w:rsid w:val="00DB7A7A"/>
    <w:rsid w:val="00DE02D6"/>
    <w:rsid w:val="00DE17CC"/>
    <w:rsid w:val="00DE3909"/>
    <w:rsid w:val="00DE42DF"/>
    <w:rsid w:val="00DE5D81"/>
    <w:rsid w:val="00DF4E2E"/>
    <w:rsid w:val="00E03939"/>
    <w:rsid w:val="00E04795"/>
    <w:rsid w:val="00E04A1B"/>
    <w:rsid w:val="00E05EF1"/>
    <w:rsid w:val="00E15427"/>
    <w:rsid w:val="00E21D2B"/>
    <w:rsid w:val="00E22720"/>
    <w:rsid w:val="00E23909"/>
    <w:rsid w:val="00E2545C"/>
    <w:rsid w:val="00E26151"/>
    <w:rsid w:val="00E311B0"/>
    <w:rsid w:val="00E44026"/>
    <w:rsid w:val="00E47AFD"/>
    <w:rsid w:val="00E50811"/>
    <w:rsid w:val="00E63CD3"/>
    <w:rsid w:val="00E64CC7"/>
    <w:rsid w:val="00E6601A"/>
    <w:rsid w:val="00E72259"/>
    <w:rsid w:val="00E72757"/>
    <w:rsid w:val="00E7759D"/>
    <w:rsid w:val="00E818D8"/>
    <w:rsid w:val="00E82FC4"/>
    <w:rsid w:val="00EA744C"/>
    <w:rsid w:val="00EB1AA7"/>
    <w:rsid w:val="00EB1BFC"/>
    <w:rsid w:val="00EC0726"/>
    <w:rsid w:val="00EC5F8E"/>
    <w:rsid w:val="00ED19BC"/>
    <w:rsid w:val="00ED2356"/>
    <w:rsid w:val="00EE62C6"/>
    <w:rsid w:val="00EF10DB"/>
    <w:rsid w:val="00F043AA"/>
    <w:rsid w:val="00F04887"/>
    <w:rsid w:val="00F06290"/>
    <w:rsid w:val="00F12BE3"/>
    <w:rsid w:val="00F14684"/>
    <w:rsid w:val="00F14B6F"/>
    <w:rsid w:val="00F14C69"/>
    <w:rsid w:val="00F2095D"/>
    <w:rsid w:val="00F2351D"/>
    <w:rsid w:val="00F26019"/>
    <w:rsid w:val="00F3671E"/>
    <w:rsid w:val="00F36ED6"/>
    <w:rsid w:val="00F37611"/>
    <w:rsid w:val="00F4003F"/>
    <w:rsid w:val="00F64E35"/>
    <w:rsid w:val="00F76E9B"/>
    <w:rsid w:val="00F96522"/>
    <w:rsid w:val="00F97005"/>
    <w:rsid w:val="00FA3056"/>
    <w:rsid w:val="00FB0F3F"/>
    <w:rsid w:val="00FB3F67"/>
    <w:rsid w:val="00FB7D28"/>
    <w:rsid w:val="00FC0093"/>
    <w:rsid w:val="00FC0A0F"/>
    <w:rsid w:val="00FC731F"/>
    <w:rsid w:val="00FD1667"/>
    <w:rsid w:val="00FD42C9"/>
    <w:rsid w:val="00FE4D1A"/>
    <w:rsid w:val="00FE5FBC"/>
    <w:rsid w:val="027B0242"/>
    <w:rsid w:val="031B7232"/>
    <w:rsid w:val="03906D5E"/>
    <w:rsid w:val="04381656"/>
    <w:rsid w:val="06B54959"/>
    <w:rsid w:val="06D61AE7"/>
    <w:rsid w:val="086416BC"/>
    <w:rsid w:val="09CD34CC"/>
    <w:rsid w:val="0A1F3E2C"/>
    <w:rsid w:val="0A5A2140"/>
    <w:rsid w:val="0AA562BD"/>
    <w:rsid w:val="0C184F6A"/>
    <w:rsid w:val="0FD538E8"/>
    <w:rsid w:val="102A5752"/>
    <w:rsid w:val="10A62E3A"/>
    <w:rsid w:val="120867B8"/>
    <w:rsid w:val="1551091A"/>
    <w:rsid w:val="15D5795C"/>
    <w:rsid w:val="17183D25"/>
    <w:rsid w:val="17435ECF"/>
    <w:rsid w:val="175D716D"/>
    <w:rsid w:val="18074320"/>
    <w:rsid w:val="19527FF7"/>
    <w:rsid w:val="19DA5967"/>
    <w:rsid w:val="1AB75E62"/>
    <w:rsid w:val="1ACF285C"/>
    <w:rsid w:val="1ADC4EF8"/>
    <w:rsid w:val="1E5D7687"/>
    <w:rsid w:val="1E5F5CE5"/>
    <w:rsid w:val="1FC11FB0"/>
    <w:rsid w:val="21145E09"/>
    <w:rsid w:val="241614D2"/>
    <w:rsid w:val="26297D69"/>
    <w:rsid w:val="27AB4932"/>
    <w:rsid w:val="27DC2EC2"/>
    <w:rsid w:val="27F54825"/>
    <w:rsid w:val="2A7633DE"/>
    <w:rsid w:val="2B28584E"/>
    <w:rsid w:val="2D6C27D4"/>
    <w:rsid w:val="2D8268CE"/>
    <w:rsid w:val="2D8A40A2"/>
    <w:rsid w:val="2E1346AF"/>
    <w:rsid w:val="2E491098"/>
    <w:rsid w:val="2E865F77"/>
    <w:rsid w:val="2EDC6C66"/>
    <w:rsid w:val="2F294E18"/>
    <w:rsid w:val="2F536C2B"/>
    <w:rsid w:val="2FB86DFC"/>
    <w:rsid w:val="304F189A"/>
    <w:rsid w:val="30B05780"/>
    <w:rsid w:val="319F6C2C"/>
    <w:rsid w:val="31BD15E6"/>
    <w:rsid w:val="32952244"/>
    <w:rsid w:val="32F97110"/>
    <w:rsid w:val="3413485B"/>
    <w:rsid w:val="345E530E"/>
    <w:rsid w:val="346003E8"/>
    <w:rsid w:val="3554199F"/>
    <w:rsid w:val="36560D42"/>
    <w:rsid w:val="36AF69F1"/>
    <w:rsid w:val="36FF28D0"/>
    <w:rsid w:val="370B5476"/>
    <w:rsid w:val="38325FAE"/>
    <w:rsid w:val="3881053B"/>
    <w:rsid w:val="394D1436"/>
    <w:rsid w:val="3B640915"/>
    <w:rsid w:val="3BEE61C8"/>
    <w:rsid w:val="3C440FB6"/>
    <w:rsid w:val="3D351C5F"/>
    <w:rsid w:val="3DF04EE5"/>
    <w:rsid w:val="3E795522"/>
    <w:rsid w:val="3EB81EA8"/>
    <w:rsid w:val="404C33E4"/>
    <w:rsid w:val="41A53869"/>
    <w:rsid w:val="43E21ADA"/>
    <w:rsid w:val="43F31479"/>
    <w:rsid w:val="44211140"/>
    <w:rsid w:val="45C261A9"/>
    <w:rsid w:val="45D07A0E"/>
    <w:rsid w:val="4611279D"/>
    <w:rsid w:val="46747297"/>
    <w:rsid w:val="469A212C"/>
    <w:rsid w:val="4B28395D"/>
    <w:rsid w:val="4C242AC1"/>
    <w:rsid w:val="4E6573F6"/>
    <w:rsid w:val="4E6A0258"/>
    <w:rsid w:val="4ED979F6"/>
    <w:rsid w:val="4F251AAD"/>
    <w:rsid w:val="4FA13C37"/>
    <w:rsid w:val="50E16E75"/>
    <w:rsid w:val="51A13A39"/>
    <w:rsid w:val="5246318A"/>
    <w:rsid w:val="54DD3408"/>
    <w:rsid w:val="55862B8C"/>
    <w:rsid w:val="56361310"/>
    <w:rsid w:val="564D5018"/>
    <w:rsid w:val="5686204F"/>
    <w:rsid w:val="59615E98"/>
    <w:rsid w:val="5BA4459D"/>
    <w:rsid w:val="5C4A51D5"/>
    <w:rsid w:val="5C630FBA"/>
    <w:rsid w:val="5C735950"/>
    <w:rsid w:val="5D9C5599"/>
    <w:rsid w:val="5DB119A2"/>
    <w:rsid w:val="5EAC4BE5"/>
    <w:rsid w:val="5ED00C46"/>
    <w:rsid w:val="60933863"/>
    <w:rsid w:val="62D53FD7"/>
    <w:rsid w:val="62E4022F"/>
    <w:rsid w:val="63731244"/>
    <w:rsid w:val="68381682"/>
    <w:rsid w:val="688C1A35"/>
    <w:rsid w:val="69502440"/>
    <w:rsid w:val="6EC8560F"/>
    <w:rsid w:val="701162FF"/>
    <w:rsid w:val="733707EB"/>
    <w:rsid w:val="737823DF"/>
    <w:rsid w:val="73EA00B4"/>
    <w:rsid w:val="74EC06CF"/>
    <w:rsid w:val="74F55D5B"/>
    <w:rsid w:val="750E1FA6"/>
    <w:rsid w:val="76C201C3"/>
    <w:rsid w:val="776017A0"/>
    <w:rsid w:val="77D5477F"/>
    <w:rsid w:val="791A71C7"/>
    <w:rsid w:val="79612B52"/>
    <w:rsid w:val="79FF432D"/>
    <w:rsid w:val="7A556D72"/>
    <w:rsid w:val="7AB33458"/>
    <w:rsid w:val="7BE326D6"/>
    <w:rsid w:val="7C8E2AC6"/>
    <w:rsid w:val="7CF9244A"/>
    <w:rsid w:val="7D6A7A2E"/>
    <w:rsid w:val="7F2C2380"/>
    <w:rsid w:val="7F45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国家统计局</Company>
  <Pages>16</Pages>
  <Words>917</Words>
  <Characters>5227</Characters>
  <Lines>43</Lines>
  <Paragraphs>12</Paragraphs>
  <TotalTime>49</TotalTime>
  <ScaleCrop>false</ScaleCrop>
  <LinksUpToDate>false</LinksUpToDate>
  <CharactersWithSpaces>6132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2020-03-23T02:11:00Z</dcterms:created>
  <dc:creator>admin</dc:creator>
  <cp:lastModifiedBy>远山</cp:lastModifiedBy>
  <cp:lastPrinted>2021-03-18T06:32:00Z</cp:lastPrinted>
  <dcterms:modified xsi:type="dcterms:W3CDTF">2021-03-19T03:59:28Z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