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国务院办公厅关于印发</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政府网站发展指引的通知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国办</w:t>
      </w:r>
      <w:bookmarkStart w:id="0" w:name="_GoBack"/>
      <w:bookmarkEnd w:id="0"/>
      <w:r>
        <w:rPr>
          <w:rFonts w:hint="eastAsia" w:ascii="仿宋_GB2312" w:hAnsi="仿宋_GB2312" w:eastAsia="仿宋_GB2312" w:cs="仿宋_GB2312"/>
          <w:sz w:val="32"/>
          <w:szCs w:val="32"/>
        </w:rPr>
        <w:t>发〔2017〕47号</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《政府网站发展指引》已经国务院同意，现印发给你们，请认真贯彻执行。</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国务院办公</w:t>
      </w:r>
      <w:r>
        <w:rPr>
          <w:rFonts w:hint="eastAsia" w:ascii="仿宋_GB2312" w:hAnsi="仿宋_GB2312" w:eastAsia="仿宋_GB2312" w:cs="仿宋_GB2312"/>
          <w:sz w:val="32"/>
          <w:szCs w:val="32"/>
          <w:lang w:eastAsia="zh-CN"/>
        </w:rPr>
        <w:t>厅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2017年5月15日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政府网站发展指引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进一步加强政府网站管理，引领各级政府网站创新发展，深入推进互联网政务信息数据和便民服务平台建设，提升政府网上服务能力，按照党中央、国务院关于全面推进政务公开和“互联网+政务服务”的要求，结合各地区、各部门政府网站工作实际，制定本指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本指引所称政府网站是指各级人民政府及其部门、派出机构和承担行政职能的事业单位在互联网上开办的，具备信息发布、解读回应、办事服务、互动交流等功能的网站。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各地区、各部门可参照本指引制定本地区、本部门政府网站管理办法，规范网站域名，严格开办流程，加强监管考核，推进资源集约，实现政府网站有序健康发展。</w:t>
      </w:r>
    </w:p>
    <w:p>
      <w:pPr>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一、总体要求</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（一）指导思想。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按照建设法治政府、创新政府、廉洁政府和服务型政府的要求，适应人民期待和需求，打通信息壁垒，推动政务信息资源共享，不断提升政府网上履职能力和服务水平，以信息化推进国家治理体系和治理能力现代化，让亿万人民在共享互联网发展成果上有更多获得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（二）发展目标。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适应互联网发展变化，推进集约共享，持续开拓创新，到2020年，将政府网站打造成更加全面的政务公开平台、更加权威的政策发布解读和舆论引导平台、更加及时的回应关切和便民服务平台，以中国政府网为龙头、部门和地方各级政府网站为支撑，建设整体联动、高效惠民的网上政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（三）基本原则。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1.分级分类。根据经济社会发展水平和公众需求，科学划定网站类别，分类指导，规范建设。统筹考虑各级各类政府网站功能定位，突出特色，明确建设模式和发展方向。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2.问题导向。针对群众反映强烈的更新不及时、信息不准确、资源不共享、互动不回应、服务不实用等问题，完善体制机制，深化分工协作，加强政府网站内容建设。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3.利企便民。围绕企业群众需求，推进政务公开，优化政务服务，提升用户体验，提供可用、实用、易用的互联网政务信息数据服务和便民服务。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4.开放创新。坚持开放融合、创新驱动，充分利用大数据、云计算、人工智能等技术，探索构建可灵活扩展的网站架构，创新服务模式，打造智慧型政府网站。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5.集约节约。加强统筹规划和顶层设计，优化技术、资金、人员等要素配置，避免重复建设，以集中共享的资源库为基础、安全可控的云平台为依托，打造协同联动、规范高效的政府网站集群。</w:t>
      </w:r>
    </w:p>
    <w:p>
      <w:pPr>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二、职责分工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（一）管理职责。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务院办公厅是全国政府网站的主管单位，负责推进、指导、监督全国政府网站建设和发展。各省（区、市）人民政府办公厅、国务院各部门办公厅（室）是本地区、本部门政府网站的主管单位，实行全系统垂直管理的国务院部门办公厅（室）是本系统网站的主管单位。主管单位负责对政府网站进行统筹规划和监督考核，做好开办整合、安全管理、考核评价和督查问责等管理工作。地市级和县级人民政府办公厅（室）承担本地区政府网站的管理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中央网信办统筹协调全国政府网站安全管理工作。中央编办、工业和信息化部、公安部是全国政府网站的协同监管单位，共同做好网站标识管理、域名管理和ICP备案、网络安全等级保护、打击网络犯罪等工作。</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（二）办站职责。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网站的主办单位一般是政府办公厅（室）或部门办公厅（室），承担网站的建设规划、组织保障、健康发展、安全管理等职责。主办单位可指定办公厅（室）内设机构或委托其他专门机构作为承办单位，具体落实主办单位的相关要求，承担网站技术平台建设维护、安全防护，以及展现设计、内容发布、审核检查和传播推广等日常运行保障工作。集约化网站平台的职责划分见本指引相关部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政府网站内容素材主要由产生可公开政务信息数据和具有对外政务服务职能的业务部门提供。相关业务部门要积极利用政府网站发布信息、提供服务，确保所提供信息内容权威、准确、及时；建立保密审查机制，严禁涉密信息上网，不得泄露个人隐私和商业秘密；主动做好有关业务系统与政府网站的对接。政府网站要对接入的业务系统进行前端整合，统一展现。要根据业务部门的需要，灵活设置专栏专题，共同策划开展线上线下联动的专项活动，主动服务政府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政府网站内容编辑要有专门人员负责。具体负责网站内容的及时发布更新、数据资源的统一管理、信息服务的整合加工、互动诉求的响应处理、展现形式的优化创新等。做好信息内容的策划、采集、编制和发布，加强值班审看，及时发现和纠正错漏信息，确保网站内容准确、服务实用好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政府网站技术运维要有专门人员负责。具体负责网站平台的建设和技术保障，做好软硬件系统维护、功能升级、应用开发等工作。按照网络安全法等法律法规和政策标准要求，开展检测评估和安全建设，并定期对网站进行安全检查，及时消除隐患。不断完善防攻击、防篡改、防病毒等安全防护措施，加强日常巡检和监测，发现问题或出现突发情况要及时妥善处理，确保网站平台安全、稳定、高效运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三、开设与整合</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（一）网站开设。</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政府网站分为政府门户网站和部门网站。县级以上各级人民政府及其部门原则上一个单位最多开设一个网站。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1.分类开设。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门户网站。县级以上各级人民政府、国务院部门要开设政府门户网站。乡镇、街道原则上不开设政府门户网站，通过上级政府门户网站开展政务公开，提供政务服务。已有的乡镇、街道网站要尽快将内容整合至上级政府门户网站。确有特殊需求的乡镇、街道，参照政府门户网站开设流程提出申请获批后，可保留或开设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部门网站。省级、地市级政府部门，以及实行全系统垂直管理部门设在地方的县处级以上机构可根据需要开设本单位网站。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政府部门原则上不开设政府网站，通过县级政府门户网站开展政务公开，提供政务服务。已有的县级政府部门网站要尽快将内容整合至县级政府门户网站。确有特殊需求的县级政府部门，参照部门网站开设流程提出申请获批后，可保留或开设网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开展重大活动或专项工作时，原则上不单独开设专项网站，可在政府门户网站或部门网站开设专栏专题做好相关工作。已开设的专项网站，只涉及单个政府部门职责的，要尽快将内容整合至相关政府网站；涉及多个政府部门职责的，要将内容整合至政府门户网站或牵头部门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2.开设流程。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省级政府和国务院部门拟开设门户网站，报经本地区、本部门主要负责同志同意后，由本地区、本部门办公厅（室）按流程办理有关事宜，并报国务院办公厅备案。地市级、县级人民政府拟开设政府门户网站，要经本级政府主要负责同志同意后，由本级政府办公厅（室）向上级政府办公厅（室）提出申请，逐级审核，并报省（区、市）人民政府办公厅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级、地市级人民政府部门拟开设部门网站，要经本部门主要负责同志同意后，向本级人民政府办公厅（室）提出申请，逐级审核，并报省（区、市）人民政府办公厅批准。实行全系统垂直管理的基层部门拟开设部门网站，要经本部门主要负责同志同意后，向上级部门办公厅（室）提出申请，逐级审核，并报国务院有关部门办公厅（室）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（2）政府网站主办单位向编制部门提交加挂党政机关网站标识申请，按流程注册政府网站域名；向当地电信主管部门申请ICP备案；根据网络系统安全管理的相关要求向公安机关备案。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网站主办单位提交网站基本信息，经逐级审核并报国务院办公厅获取政府网站标识码后，网站方可上线运行。新开通政府门户网站要在上级政府门户网站发布开通公告；新开通部门网站要在本级政府门户网站发布开通公告。未通过安全检测的政府网站不得上线运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3.名称规范。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政府门户网站和部门网站要以本地区、本部门机构名称命名。已有名称不符合要求的，要尽快调整，或在已有名称显示区域加注规范名称。政府网站要在头部标识区域显著展示网站全称。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4.域名规范。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使用以.gov.cn为后缀的英文域名和符合要求的中文域名，不得使用其他后缀的英文域名。中央人民政府门户网站使用“www.gov.cn”域名,其他政府门户网站使用“www.□□□.gov.cn”结构的域名，其中□□□为本地区、本部门机构名称拼音或英文对应的字符串。如，北京市人民政府门户网站域名为www.beijing.gov.cn，商务部门户网站域名为www.mofcom.gov.cn。</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部门网站要使用本级政府或上级部门门户网站的下级域名，其结构应为“○○○.□□□.gov.cn”，其中○○○为本部门名称拼音或英文对应的字符串。如，保定市水利局网站域名为slj.bd.gov.cn。</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网站不宜注册多个域名，已有域名不符合要求的，要逐步注销。如有多个符合要求的域名，应明确主域名。网站栏目和内容页的网址原则上使用“www.□□□.gov.cn/.../...”、“○○○.□□□.gov.cn/.../...”形式。新开设的政府网站及栏目、内容页域名要按照本指引要求设置，原有域名不符合本指引要求的要逐步调整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5.徽标和宣传语。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徽标（Logo）是打造政府网站品牌形象的重要视觉要素。各地区、各部门可根据区域特色或部门特点设计网站徽标，徽标应特点鲜明、容易辨认、造型优美，便于记忆和推广。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政府网站一般不设置宣传语。如确有需要，可根据本地区、本部门的发展理念和目标等设计展示。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（二）网站整合。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政府门户网站一般不得关停。网站改版升级应在确保正常运行的情况下进行。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1.网站迁移。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因无力维护、主办单位撤销合并或按有关集约化要求需永久下线的，原有内容应做整合迁移。整合迁移由主办单位提出申请，逐级审核，经省（区、市）人民政府办公厅或国务院部门办公厅（室）审批同意后，方可启动。拟迁移网站要在网站首页显著位置悬挂迁移公告信息，随后向管理部门注销注册标识、证书信息（如ICP备案编号、党政机关网站标识、公安机关备案标识等）和域名，向国务院办公厅报告网站变更状态。网站完成迁移后，要在上级政府网站或本级政府门户网站发布公告，说明原有内容去向。有关公告信息原则上至少保留30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2.临时下线。</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由于整改等原因需要临时下线的，由主办单位提出申请，逐级审核，经省（区、市）人民政府办公厅或国务院部门办公厅（室）审批同意后，方可临时下线，同时在本网站和本级政府门户网站发布公告。临时下线每年不得超过1次，下线时间不得超过30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如遇不可抗因素导致长时间断电、断网等情况，或因无法落实有关安全要求被责令紧急关停，相关省（区、市）人民政府办公厅或国务院部门办公厅（室）要及时以书面形式向国务院办公厅报备，不计入当年下线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未按有关程序和要求，自行下线政府网站或未按要求整改的，相关省（区、市）人民政府办公厅或国务院部门办公厅（室）要对网站的主办单位负责人严肃问责。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3.网页归档。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网页归档是对政府网站历史网页进行整理、存储和利用的过程。政府网站遇整合迁移、改版等情况，要对有价值的原网页进行归档处理。归档后的页面要能正常访问，并在显著位置清晰注明“已归档”和归档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（三）变更备案</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机构调整、网站改版等原因，政府网站主办单位、负责人、联系方式、网站域名、栏目的主体结构或访问地址等信息发生变更的，应及时向上级主管单位备案并更新相关信息。网站域名发生变更的，要在原网站发布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四、网站功能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功能主要包括信息发布、解读回应和互动交流，政府门户网站和具有对外服务职能的部门网站还要提供办事服务功能。中国政府网要发挥好政务公开第一平台和政务服务总门户作用，构建开放式政府网站系统架构，省级政府和国务院各部门网站要主动与中国政府网做好对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（一）信息发布。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地区、各部门要建立完善政府网站信息发布机制，及时准确发布政府重要会议、重要活动、重大决策信息。国务院文件在中国政府网公开发布后，各地区、各部门要及时在本地区、本部门网站转载，加大宣传力度，抓好国务院文件的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对发布的信息和数据进行科学分类、及时更新，确保准确权威，便于公众使用。对信息数据无力持续更新或维护的栏目要进行优化调整。已发布的静态信息发生变化或调整时，要及时更新替换。政府网站使用地图时，要采用测绘地信部门发布的标准地图或依法取得审图号的地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1.概况信息。发布经济、社会、历史、地理、人文、行政区划等介绍性信息。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2.机构职能。发布机构设置、主要职责和联系方式等信息。在同一网站发布多个机构职能信息时，要集中规范发布，统一展现形式。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3.负责人信息。发布本地区、本部门、本机构的负责人信息，可包括姓名、照片、简历、主管或分管工作等，以及重要讲话文稿。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文件资料。发布本地区、本部门出台的法规、规章、应主动公开的政府文件以及相关法律法规等，应提供准确的分类和搜索功能。如相关文件资料发生修改、废止、失效等情况，应及时公开，并在已发布的原文件上作出明确标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政务动态。发布本地区、本部门政务要闻、通知公告、工作动态等需要社会公众广泛知晓的信息，转载上级政府网站、本级政府门户网站发布的重要信息。发布或转载信息时，应注明来源，确保内容准确无误。对于重要信息，有条件的要配发相关图片视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信息公开指南、目录和年报。发布政府信息公开指南和政府信息公开目录，并及时更新。信息公开目录要与网站文件资料库、有关栏目内容关联融合，可通过目录检索到具体信息，方便公众查找。按要求发布政府信息公开工作年度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7.数据发布。发布人口、自然资源、经济、农业、工业、服务业、财政金融、民生保障等社会关注度高的本地区本行业统计数据。加强与业务部门相关系统的对接，通过数据接口等方式，动态更新相关数据，并做好与本级政府门户网站、中国政府网等网站的数据对接和前端整合。要按照主题、地区、部门等维度对数据进行科学合理分类，并通过图表图解、地图等可视化方式展现和解读。提供便捷的数据查询功能，可按数据项、时间周期等进行检索，动态生成数据图表，并提供下载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8.数据开放。在依法做好安全保障和隐私保护的前提下，以机器可读的数据格式，通过政府网站集中规范向社会开放政府数据集，并持续更新，提供数据接口，方便公众开发新的应用。数据开放前要进行保密审查和脱敏处理，对过期失效的数据应及时清理更新或标注过期失效标识。政府网站要公开已在网站开放的数据目录，并注明各数据集浏览量、下载量和接口调用等情况。国家政府数据统一开放平台与中国政府网要做好数据对接和前端整合，形成统一的数据开放入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（二）解读回应。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网站发布本地区、本部门的重要政策文件时，应发布由文件制发部门、牵头或起草部门提供的解读材料。通过发布各种形式的解读、评论、专访，详细介绍政策的背景依据、目标任务、主要内容和解决的问题等。国务院文件公开发布时，应在中国政府网同步发布文件新闻通稿和配套政策解读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政府网站应根据拟发布的政策文件和解读材料，会同业务部门制作便于公众理解和互联网传播的解读产品，从公众生产生活实际需求出发，对政策文件及解读材料进行梳理、分类、提炼、精简，重新归纳组织，通过数字化、图表图解、音频、视频、动漫等形式予以展现。网站解读产品须与文件内容相符，于文件上网后及时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政府网站应做好政策文件与解读材料的相互关联，在政策文件页面提供解读材料页面入口，在解读材料页面关联政策文件有关内容。及时转载对政策文件精神解读到位的媒体评论文章，形成传播合力，增强政策的传播力、影响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对涉及本地区、本部门的重大突发事件，要在宣传部门指导下，按程序及时发布由相关回应主体提供的回应信息，公布客观事实，并根据事件发展和工作进展发布动态信息，表明政府态度。对社会公众关注的热点问题，要邀请相关业务部门作出权威、正面的回应，阐明政策，解疑释惑。对涉及本地区、本部门的网络谣言，要及时发布相关部门辟谣信息。回应信息要主动向各类传统媒体和新媒体平台推送，扩大传播范围，增强互动效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（三）办事服务。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各省（区、市）人民政府、国务院有关部门要依托政府门户网站，整合本地区、本部门政务服务资源与数据，加快构建权威、便捷的一体化互联网政务服务平台。中国政府网是全国政务服务的总门户，各地区、各部门网上政务服务平台要主动做好对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设置统一的办事服务入口，发布本地区、本部门政务服务事项目录，集中提供在线服务。要编制网站在线服务资源清单，按主题、对象等维度，对服务事项进行科学分类、统一命名、合理展现。应标明每一服务事项网上可办理程度，能全程在线办理的要集中突出展现。对非政务服务事项要严格审核，谨慎提供，确保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办事服务功能要有机关联文件资料库、互动交流平台、答问知识库中的信息资源，在事项列表页或办事指南页提供相关法律法规、政策文件、常见问题、咨询投诉和监督举报入口等，实现一体化服务。省级政府、国务院部门网站建设的文件资料库、答问知识库等信息服务资源应主动与中国政府网对接，形成互联互通的政务信息资源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3.整合业务部门办事服务系统前端功能，利用电子证照库和统一身份认证，综合提供在线预约、在线申报、在线咨询、在线查询以及电子监察、公众评价等功能，实现网站统一受理、统一记录、统一反馈。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细化规范办事指南，列明依据条件、流程时限、收费标准、注意事项、办理机构、联系方式等；明确需提交材料的名称、依据、格式、份数、签名签章等要求，并提供规范表格、填写说明和示范文本，确保内容准确，并与线下保持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5.全程记录企业群众在线办事过程，对查阅、预约、咨询、申请、受理、反馈等关键数据进行汇总分析，为业务部门简化优化服务流程、便捷企业群众办事提供参考。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（四）互动交流。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门户网站要搭建统一的互动交流平台，根据工作需要，实现留言评论、在线访谈、征集调查、咨询投诉和即时通讯等功能，为听取民意、了解民愿、汇聚民智、回应民声提供平台支撑。部门网站开设互动交流栏目尽量使用政府门户网站统一的互动交流平台。互动交流栏目应标明开设宗旨、目的和使用方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2.信息发布、解读回应和办事服务类栏目要通过统一的互动交流平台提供留言评论等功能，实现数据汇聚、统一处理。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政府网站开设互动交流栏目，要加强审核把关和组织保障，确保网民有序参与，提高业务部门互动频率、增强互动效果。建立网民意见建议的审看、处理和反馈等机制，做到件件有落实、事事有回音，更好听民意、汇民智。地方和部门网站对中国政府网转办的网民意见建议，要认真研究办理、及时反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对收集到的意见建议要认真研判，起草的舆情信息要客观真实反映群众心声和关切重点，有参考价值的政策建议要按程序转送业务部门研究办理，提出答复意见。有关单位提供的回复内容出现敷衍推诿、答非所问等情况的，要予以退回并积极沟通，督促相关单位重新回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做好意见建议受理反馈情况的公开工作，列清受理日期、答复日期、答复部门、答复内容以及有关统计数据等。开展专项意见建议征集活动的，要在网站上公布采用情况。以电子邮箱形式接受网民意见建议的，要每日查看邮箱信件，及时办理并公开信件办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6.定期整理网民咨询及答复内容，按照主题、关注度等进行分类汇总和结构化处理，编制形成知识库，实行动态更新。在网民提出类似咨询时，推送可供参考的答复口径。</w:t>
      </w:r>
    </w:p>
    <w:p>
      <w:pPr>
        <w:jc w:val="both"/>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五、集约共享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集约化是解决政府网站“信息孤岛”、“数据烟囱”等问题的有效途径。要通过统一标准体系、统一技术平台、统一安全防护、统一运维监管，集中管理信息数据，集中提供内容服务，实现政府网站资源优化融合、平台整合安全、数据互认共享、管理统筹规范、服务便捷高效。</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（一）按职责推进集约化。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各省（区、市）要建设本地区政府网站集约化平台。副省级城市、有条件的地级市或直辖市所辖的区（县）经省（区、市）人民政府办公厅批准后，可建设本地区政府网站集约化平台，并与省级平台实现互联互通和协同联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务院部门要建设本部门政府网站集约化平台，内设机构不得单独建设网站技术平台。实行全系统垂直管理的国务院部门原则上要建设本系统政府网站集约化平台，可根据实际情况建设国务院部门和省级垂直管理部门两级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省（区、市）人民政府办公厅和国务院部门办公厅（室）负责本地区、本部门政府网站集约化工作的统筹推进、组织协调和考核管理，要指定专门机构研究集约化平台的建设需求、技术路线、系统架构、部署策略、运维机制、安全防护体系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2.省级政府部门网站要部署在省级平台。地市级和县级政府门户网站、地市级政府部门网站、实行双重管理部门的网站，要部署在省级平台或经批准建设的地市级平台。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实行全系统垂直管理部门的网站，按照国务院有关部门要求部署在相应平台。已开设的国务院部门内设机构网站要集约至国务院部门集约化平台。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其他经批准开设的政府网站要部署在对应的省部级平台或经批准建设的地市级平台。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集约化平台的管理部门和平台上政府网站的主办、承办单位要结合实际情况协商确定各自职责。原则上，各政府网站主办、承办单位负责本网站的栏目策划、内容保障等工作，并自行安排有关经费。集约化平台的管理部门要做好技术支撑和安全保障工作。如已建设的集约化平台无法满足有关政府网站个性化需求，集约化平台的管理部门应与各主办、承办单位沟通协商，积极配合并及时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4.在国务院部门集约化平台上部署的基层部门网站，应按照基层部门网站对应的主管单位要求做好信息内容保障工作。集约化平台的管理部门要积极响应基层部门网站开设整合、栏目定制等需求。</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（二）平台功能和安全防护。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集约化平台要向平台上的政府网站提供以下功能：站点管理、栏目管理、资源管理、权限管理；内容发布、领导信箱、征集调查、在线访谈；站内搜索、评价监督；用户注册、统一身份认证；个性定制、内容推送、运维监控、统计分析、安全防护等。同时，要具备与政务公开、政务服务、电子证照库等系统和数据库对接融合的扩展性。可使用CDN（内容分发网络）等技术，提升访问请求的处理效率和响应速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集约化平台要充分利用云计算、大数据等相关技术，满足本地区、本部门、本系统政府网站的建设需求，可依托符合安全要求的第三方云平台开展建设。要加强对集约化平台的日常管理和考核监督，确保安全稳定运行。</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（三）共享共用信息资源。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构建分类科学、集中规范、共享共用的全平台统一信息资源库，按照“先入库，后使用”原则，对来自平台上各政府网站的信息资源统一管理，实现统一分类、统一元数据、统一数据格式、统一调用、统一监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2.基于信息资源库、电子证照库和统一身份认证系统，从用户需求出发，推动全平台跨网站、跨系统、跨层级的资源相互调用和信息共享互认。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乡镇、街道和县级政府部门的信息、服务和互动资源原则上要无缝融入县级政府门户网站各相关栏目，由县级政府门户网站统一展现，实现信息、服务和互动资源的集中与共享。省级、地市级政府部门网站集约至统一平台后，信息资源要纳入统一的信息资源库共享管理，同时可按部门网站形式展现，保留相对独立的页面和栏目。实行全系统垂直管理部门的网站，信息资源原则上由国务院有关部门统一管理。</w:t>
      </w:r>
    </w:p>
    <w:p>
      <w:pPr>
        <w:jc w:val="left"/>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六、创新发展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（一）个性化服务。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用户为中心，打造个人和企业专属主页，提供个性化、便捷化、智能化服务，实现“千人千网”，为个人和企业“记录一生，管理一生，服务一生”。根据用户群体特点和需求，提供多语言服务。围绕残疾人、老年人等特殊群体获取网站信息的需求，不断提升信息无障碍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优化政府网站搜索功能，提供错别字自动纠正、关键词推荐、拼音转化搜索和通俗语言搜索等功能。根据用户真实需求调整搜索结果排序，提供多维度分类展现，聚合相关信息和服务，实现“搜索即服务”。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通过自然语言处理等相关技术，自动解答用户咨询，不能答复或答复无法满足需求的可转至人工服务。利用语音、图像、指纹识别等技术，鉴别用户身份，提供快捷注册、登录、支付等功能。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（二）开放式架构。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构建开放式政府网站系统框架，在满足基本要求的基础上，支撑融合新技术、加载新应用、扩展新功能，随技术发展变化持续升级，实现平滑扩充和灵活扩展。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开放网上政务服务接口，引入社会力量，积极利用第三方平台，开展预约查询、证照寄送以及在线支付等服务，创新服务模式，让公众享受更加便捷高效的在线服务。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建立完善公众参与办网机制，鼓励引导群众分享用网体验，开展监督评议，探索网站内容众创，形成共同办网的新局面。</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（三）大数据支撑。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对网站用户的基本属性、历史访问页面内容和时间、搜索关键词等行为信息进行大数据分析，研判用户的潜在需求，结合用户定制信息，主动为用户推送关联度高、时效性强的信息或服务。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研究分析网站各栏目更新、浏览、转载、评价以及服务使用等情况，对有关业务部门贯彻落实决策部署，开展信息发布、解读回应、办事服务、互动交流等方面工作情况进行客观量化评价，为改进工作提供建议，为科学决策提供参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（四）多渠道拓展。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适应互联网发展变化和公众使用习惯，推进政府网站向移动终端、自助终端、热线电话、政务新媒体等多渠道延伸，为企业和群众提供多样便捷的信息获取和办事渠道。提高政务新媒体内容发布质量，可对来自政府网站的政务信息进行再加工和再创作，通过数字化、图表图解、音频视频等公众喜闻乐见的形式发布。开展响应式设计，自动匹配适应多种终端。建立健全人工在线服务机制，融合已有的服务热线资源，完善知识库，及时响应网民诉求，解答网民疑惑。加强与网络媒体、电视广播、报刊杂志等的合作，通过公共搜索、社交网络等公众常用的平台和渠道，多渠道传播政府网站的声音。开展线上线下协同联动的推广活动，提高政府网站的用户粘性、公众认知度和社会影响力。</w:t>
      </w:r>
    </w:p>
    <w:p>
      <w:pPr>
        <w:jc w:val="left"/>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七、安全防护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根据网络安全法等要求，贯彻落实网络安全等级保护制度，采取必要措施，对攻击、侵入和破坏政府网站的行为以及影响政府网站正常运行的意外事故进行防范，确保网站稳定、可靠、安全运行。在网信、公安等部门的指导下，加强网络安全监测预警技术能力建设。网站安全与网站开设要同步规划、同步建设、同步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（一）技术防护。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网站服务器不得放在境外，禁止使用境外机构提供的物理服务器和虚拟主机。优先采购通过安全审查的网络产品和服务。使用的关键设备和安全专用产品要通过安全认证和安全检测。被列为关键信息基础设施的政府网站要在严格执行等级保护制度的基础上，实行重点保护，不得使用未通过安全审查的网络产品和服务。按照要求定期对政府网站开展安全检测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部署必要的安全防护设备，应对病毒感染、恶意攻击、网页篡改和漏洞利用等风险，保障网站安全运行。操作系统、数据库和中间件等软件要遵循最小安装原则，仅安装应用必需的服务和组件，并及时安装安全补丁程序。部署的设备和软件要具备与网站访问需求相匹配的性能。划分网络安全区域，严格设置访问控制策略，建立安全访问路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前台发布页面和后台管理系统应分别部署在不同的主机环境中，并设置严格的访问控制策略，防止后台管理系统暴露在互联网中。要对应用软件的代码进行安全分析和测试，识别并及时处理可能存在的恶意代码。对重要数据、敏感数据进行分类管理，做好加密存储和传输。加强后台发布终端的安全管理，定期开展安全检查，防止终端成为后台管理系统的风险入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加强用户管理，根据用户类别设置不同安全强度的鉴别机制。禁止使用系统默认或匿名账户，根据实际需要创建必须的管理用户。要采用两种或两种以上组合的鉴别技术，确定管理用户身份。严格设定访问和操作权限，实现系统管理、内容编辑、内容审核等用户的权限分离。要对管理用户的操作行为进行记录。加强网站平台的用户数据安全防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5.使用符合国家密码管理政策和标准规范的密码算法和产品，逐步建立基于密码的网络信任、安全支撑和运行监管机制。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6.在网站建设中，应采用可信计算、云计算、大数据等技术，利用集约化手段，开展网站群建设，减少互联网出口，实现网站的统一管理、统一防护，提高网站综合防护能力。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（二）监测预警与应急处置。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建立安全监测预警机制，实时监测网站的硬件环境、软件环境、应用系统、网站数据等运行状态以及网站挂马、内容篡改等攻击情况，并对异常情况进行报警和处置。定期对网站应用程序、操作系统及数据库、管理终端进行全面扫描，发现潜在安全风险并及时处置。留存网站运行日志不少于六个月。密切关注网信、电信主管等部门发布的系统漏洞、计算机病毒、网络攻击、网络侵入等预警和通报信息，并及时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建立应急响应机制，制定应急预案并向本地区、本部门政府网站主管单位和网络安全应急主管部门备案，明确应急处置流程，开展应急演练，提高对网络攻击、病毒入侵、系统故障等风险的应急处置能力。发生安全事件时，要立即启动应急预案及时处置，并按照规定向有关管理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及时处置假冒政府网站。假冒政府网站是指以虚假政府机构名义、冒用政府或部门名义开办的，以及利用与政府网站相同或相似的标识（名称、域名、徽标等）、内容及功能误导公众的非法网站。对监测发现或网民举报的假冒政府网站，经核实后，相关省（区、市）人民政府办公厅或国务院部门办公厅（室）要及时商请网信部门处理。网信部门协调电信主管、公安等部门积极配合，及时对假冒政府网站的域名解析和互联网接入服务进行处置。公安机关会同有关部门对假冒政府网站开办者等人员依法予以打击处理。</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（三）管理要求。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明确政府网站安全责任人，落实安全保护责任。强化安全培训，定期对相关人员进行安全教育、技术培训和技能考核，提高安全意识和防范水平。对因工作失职导致安全事故的进行责任追究。被列为关键信息基础设施的政府网站，应对关键岗位人员进行安全背景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2.按照网络安全法等法律法规和政策标准要求，制定完善安全管理制度和操作规程，做好网站安全定级、备案、检测评估、整改和检查工作，提高网站防篡改、防病毒、防攻击、防瘫痪、防劫持、防泄密能力。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建立政府网站信息数据安全保护制度，收集、使用用户信息数据应当遵循合法、正当、必要的原则。政府网站对存储的信息数据要严格管理，通过磁盘阵列、网页加速服务等方式定期、全面备份网站数据，提升容灾备份能力；利用对称、非对称的加密技术，对网站数据进行双重加密；通过设置专用加密通道，严格控制数据访问权限，确保安全，防止数据泄露、毁损、丢失。</w:t>
      </w:r>
    </w:p>
    <w:p>
      <w:pPr>
        <w:jc w:val="left"/>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八、机制保障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（一）监管机制。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常态化监管。各地区、各部门要至少每季度对本地区、本部门政府网站信息内容开展一次巡查抽检，抽查比例不得低于30%，每次抽查结束后要及时在门户网站公开检查情况。对问题严重的要进行通报并约谈有关责任人。安排专人每天及时处理网民纠错意见，在1个工作日内转有关网站主办单位处理，在3个工作日内答复网民。除反映情况不属实等特殊情况外，所有留言办理情况均要公开。定期组织对政府网站安全管理和技术防护措施进行检查。编制政府网站监管年度报表，每年1月31日前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考核评价。制定政府网站考评办法，把考评结果纳入政府年度绩效考核，列入重点督查事项。完善奖惩问责机制，对考评优秀的网站，要推广先进经验，并给予相关单位和人员表扬和奖励。对存在问题较多的网站，要通报相关主管、主办单位和有关负责人。对因网站出现问题造成严重后果的，要对分管领导和有关责任人进行严肃问责。可采用第三方评估、专业机构评定、社情民意调查等多种方式，客观、公正、多角度地评价工作效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人员培训。将政府网站工作纳入干部教育培训体系，定期组织开展培训，把提升网上履职能力作为培训的重要内容，不断提高机关工作人员知网、懂网、用网的意识和水平。加强专业人才培养，建设一支具备信息采集、选题策划、编辑加工、大数据分析和安全保障等综合能力，熟悉政务工作和互联网传播规律，具有高度政治责任感和工作担当的专业化队伍。积极开展试点示范，树立标杆典型，建立交流平台，加强业务研讨，分享经验做法，共同提高管网、建网、办网的能力。</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（二）运维机制。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专人负责制度。指定专人对政府网站信息内容和安全运行负总责。明确栏目责任人，负责栏目的选题策划、信息编发和内容质量等。严格审校流程，确保信息内容与业务部门提供的原稿一致，发现原稿有问题要及时沟通。转载使用其他非政府网站信息的，要加强内容审核和保密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值班读网制度。建立24小时值班制度，及时处理突发事件，编辑、审核和发布相关稿件。设立质量管理岗位，加强日常监测，通过机器扫描、人工检查等方法，对政府网站的整体运行情况、链接可用情况、栏目更新情况、信息内容质量等进行日常巡检，每日浏览网站内容，特别要认真审看新发布的稿件信息，及时发现问题、纠正错漏并做好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3.资源管理机制。网站栏目主编根据权限从信息资源库调取资源，配置完善栏目。资源库管理团队要做好入库资源的管理，详细记录资源使用情况，并进行挖掘分析，提出栏目优化和新应用开发的建议。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预算及项目管理制度。统筹考虑并科学核定内容保障和运行维护经费需要，把政府网站经费足额纳入部门预算，制定经费管理办法并加强管理。建立项目管理制度，规范做好项目立项、招投标和验收等工作，管理好项目需求、进度、质量和文档等。规范和加强采购管理，严格遵守政府采购制度规定和流程规范，凡属于政府采购范围的，必须按照国家法律法规执行，做到“应采尽采”。对外包的业务和事项，严格审查服务单位的业务能力、资质和管理制度，细化明确外包服务的人员、内容、质量和工作信息保护等要求，确保人员到位、服务到位、安全到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年报制度。要编制政府网站年度工作报表，内容主要包括年度信息发布总数和各栏目发布数、用户总访问量、服务事项数和受理量、网民留言办理情况，以及平台建设、开设专题、新媒体传播、创新发展和机制保障等情况，确保数据真实、准确、完整，于每年1月31日前向社会公开。</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（三）沟通协调。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国务院办公厅建立与中央宣传部、中央网信办、中央编办、工业和信息化部、公安部的协同工作机制，县级以上地方人民政府办公厅（室）建立与本级宣传、网信、编制、电信主管和公安部门的协同机制，做好政府网站重大事项沟通交流、信息共享公示和问题处置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各地区、各部门办公厅（室）要与宣传、网信部门建立政务舆情回应协同机制，及时通过政府网站、新闻媒体和网络媒体等发布回应信息，并同步向政务微博、微信等政务新媒体推送，扩大权威信息传播范围。政府网站要建立与新闻宣传部门及主要媒体的沟通协调机制，共同做好政策解读、热点回应和网站传播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（四）协同联动。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建立政府网站间协同联动机制，畅通沟通渠道。对上级政府网站和本级政府门户网站发布的重要政策信息，应在12小时内转载；需上级政府网站或本级政府门户网站发布的重要信息，应及时报送并协商发布，共同打造整体联动、同步发声的政府网站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国务院通过中国政府网、国务院客户端发布的对全局工作有指导意义、需要社会广泛知晓的重要政策信息，国务院各部门网站和地方各级政府网站及其政务新媒体要及时充分转载；涉及某个行业或地区的政策信息，有关部门和地方网站应及时转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3.鼓励国务院各部门和省级政府入驻国务院客户端，及时发布国务院重要决策部署落实情况等，并提供办事服务。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附件：网页设计规范</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附件</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网页设计规范</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一、展现布局</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（一）展现。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1.政府网站应简洁明了，清新大气，保持统一风格，符合万维网联盟（W3C）的相关标准规范要求。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2.政府网站应确定1种主色调，合理搭配辅色调，总色调不宜超过3种。使用符合用户习惯的标准字体和字号，同一类别的栏目和信息使用同一模板，统一字体、字号、行间距和布局等。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3.按照适配常用分辨率的规格设计页面，首页不宜过长。在主流计算机配置和当地平均网速条件下，页面加载时长不宜超过3秒。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4.对主流类别及常用版本浏览器具有较好的兼容性，页面保持整齐不变形,不出现文字错行、表格错位、功能和控件不可用等情况。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5.网站内容要清晰显示发布时间，时间格式为YYYY—MM—DD HH∶MM。文章页需标明信息来源，具备转载分享功能。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6.页面中的图片和视频应匹配信息内容，确保加载速度，避免出现图片不显示、视频无法播放等情况。避免使用可能存在潜在版权纠纷或争议的图片和视频。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（二）布局</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1.政府网站页面布局要科学合理、层次分明、重点突出，一般分为头部标识区、中部内容区和底部功能区。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2.头部标识区要醒目展示网站名称，可根据实际情况展示中英文域名、徽标（Logo）以及多语言版、搜索等入口，有多个域名的显示主域名。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3.中部内容区要遵循“从左到右、从上到下”的阅读习惯，科学合理设置布局架构。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4.底部功能区至少要列明党政机关网站标识、“我为政府网站找错”监督举报平台入口、网站标识码、网站主办单位及联系方式、ICP备案编号、公安机关备案标识和站点地图等内容。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5.政府网站各页面的头部标识区和底部功能区原则上要与首页保持一致。</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（三）栏目</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1.栏目是相对独立的内容单元，通常为一组信息或功能的组合，按照信息类别、特定主题等维度进行编排并集中展现。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2.栏目设置要科学合理，充分体现政府工作职能，避免开设与履职行为、公众需求相关度不高的栏目。政府门户网站和部门网站应设置机构职能、负责人信息、政策文件、解读回应、工作动态、互动交流类栏目。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3.栏目名称应准确直观、不宜过长，能够清晰体现栏目内容或功能。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4.栏目内容较多时，可设置子栏目。栏目页要优先展现最新更新的信息内容。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做好各栏目的内容更新、访问统计和日常核查，对无法保障、访问量低的栏目进行优化调整或关停并转。杜绝出现空白栏目，暂不能正常保障的栏目不得在页面显示，不得以“正在建设中”、“正在改版中”、“正在升级中”等理由保留空白栏目。</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（四）频道。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频道是围绕特定主题的重要栏目或内容的组合，一般设置在中部内容区顶部，在各页面统一展示，为公众便捷使用提供导航。重要的单个栏目也可以作为频道。频道设置要清晰合理，突出重点。频道不宜过多，一般以5—8个为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（五）专题。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1.专题是围绕专项工作开设的特定栏目，集中展现有关工作内容。一般具有主题性、阶段性和时效性等特点。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2.专题一般以图片标题等形式在首页显著位置设置链接入口。专题较多时，要设置专门的专题区。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3.专项工作结束时，相关专题要从首页显著位置撤下并标注归档标识，集中保留至专题区，便于公众查看使用。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4.专题的页面风格原则上应与网站整体风格一致，具体页面展现可根据需要灵活设计。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二、地址链接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（一）内部链接。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建立统一资源定位符（URL）设定规则，为本网站的页面、图片、附件等生成唯一的内部地址。内部地址应清晰有效，体现内容分类和访问路径的逻辑性，便于用户识别。除网站迁移外，网站各类资源的URL原则上要保持不变，避免信息内容不可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（二）外部链接</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政府网站所使用的其他网站域名或资源地址，称为该网站的外部链接。使用外部链接应经本网站主办单位或承办单位负责人审核。原则上不得链接商业网站。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（三）链接管理。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应建立链接地址的监测巡检机制，确保所有链接有效可用，及时清除不可访问的链接地址，避免产生“错链”、“断链”。对于外部链接要严格审查发布流程，不得引用与所在页面主题无关的内容。严格对非政府网站链接的管理，确需引用非政府网站资源链接的，要加强对相关页面内容的实时监测和管理，杜绝因其内容不合法、不权威、不真实客观、不准确实用等造成不良影响。打开非政府网站链接时，应有提示信息。网站所有的外部链接需在页面上显示，避免出现“暗链”，造成安全隐患。</w:t>
      </w:r>
    </w:p>
    <w:p>
      <w:pPr>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三、网页标签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网页标签是指网页模版中对有关展现内容进行标记而设置的标签，通常包括网站标签、栏目标签、内容页标签等。政府网站要在页面源代码“〈head〉…〈/head〉”中以meta标签的形式，对网站名称、政府网站标识码、栏目类别等关键要素进行标记，标签值不能为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政府网站要在所有页面中设置相关标签。栏目页要设置网站标签和栏目标签。内容页要在设置内容页标签的同时，设置网站标签以及栏目标签中的“栏目名称”和“栏目类别”标签。</w:t>
      </w:r>
    </w:p>
    <w:p>
      <w:pPr>
        <w:ind w:firstLine="640"/>
        <w:rPr>
          <w:rFonts w:hint="eastAsia" w:ascii="仿宋_GB2312" w:hAnsi="仿宋_GB2312" w:eastAsia="仿宋_GB2312" w:cs="仿宋_GB2312"/>
          <w:sz w:val="32"/>
          <w:szCs w:val="32"/>
        </w:rPr>
      </w:pPr>
    </w:p>
    <w:p>
      <w:pPr>
        <w:numPr>
          <w:ilvl w:val="0"/>
          <w:numId w:val="1"/>
        </w:numPr>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网站标签</w:t>
      </w:r>
      <w:r>
        <w:rPr>
          <w:rFonts w:hint="eastAsia" w:ascii="仿宋_GB2312" w:hAnsi="仿宋_GB2312" w:eastAsia="仿宋_GB2312" w:cs="仿宋_GB2312"/>
          <w:sz w:val="32"/>
          <w:szCs w:val="32"/>
        </w:rPr>
        <w:t>。</w:t>
      </w:r>
    </w:p>
    <w:tbl>
      <w:tblPr>
        <w:tblW w:w="90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35"/>
        <w:gridCol w:w="1511"/>
        <w:gridCol w:w="1509"/>
        <w:gridCol w:w="1511"/>
        <w:gridCol w:w="2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2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ascii="Calibri" w:hAnsi="Calibri" w:cs="Calibri"/>
                <w:sz w:val="21"/>
                <w:szCs w:val="21"/>
              </w:rPr>
            </w:pPr>
            <w:r>
              <w:rPr>
                <w:rFonts w:hint="eastAsia" w:ascii="宋体" w:hAnsi="宋体" w:eastAsia="宋体" w:cs="宋体"/>
                <w:i w:val="0"/>
                <w:caps w:val="0"/>
                <w:color w:val="000000"/>
                <w:spacing w:val="0"/>
                <w:sz w:val="20"/>
                <w:szCs w:val="20"/>
                <w:bdr w:val="none" w:color="auto" w:sz="0" w:space="0"/>
              </w:rPr>
              <w:t>规范名称</w:t>
            </w:r>
          </w:p>
        </w:tc>
        <w:tc>
          <w:tcPr>
            <w:tcW w:w="141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标签名称</w:t>
            </w:r>
          </w:p>
        </w:tc>
        <w:tc>
          <w:tcPr>
            <w:tcW w:w="141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是否多值</w:t>
            </w:r>
          </w:p>
        </w:tc>
        <w:tc>
          <w:tcPr>
            <w:tcW w:w="141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设置要求</w:t>
            </w:r>
          </w:p>
        </w:tc>
        <w:tc>
          <w:tcPr>
            <w:tcW w:w="264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2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网站名称</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SiteName</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否</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必选</w:t>
            </w:r>
          </w:p>
        </w:tc>
        <w:tc>
          <w:tcPr>
            <w:tcW w:w="26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政府网站的规范名称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2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网站域名</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SiteDomain</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是</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必选</w:t>
            </w:r>
          </w:p>
        </w:tc>
        <w:tc>
          <w:tcPr>
            <w:tcW w:w="26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政府网站的英文域名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2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政府网站标识码</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SiteIDCode</w:t>
            </w:r>
          </w:p>
        </w:tc>
        <w:tc>
          <w:tcPr>
            <w:tcW w:w="14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否</w:t>
            </w:r>
          </w:p>
        </w:tc>
        <w:tc>
          <w:tcPr>
            <w:tcW w:w="141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必选</w:t>
            </w:r>
          </w:p>
        </w:tc>
        <w:tc>
          <w:tcPr>
            <w:tcW w:w="26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政府网站合法身份的标识</w:t>
            </w:r>
          </w:p>
        </w:tc>
      </w:tr>
    </w:tbl>
    <w:p>
      <w:pPr>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示例如下：</w:t>
      </w:r>
    </w:p>
    <w:tbl>
      <w:tblPr>
        <w:tblW w:w="90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ascii="Calibri" w:hAnsi="Calibri" w:cs="Calibri"/>
                <w:sz w:val="21"/>
                <w:szCs w:val="21"/>
              </w:rPr>
            </w:pPr>
            <w:r>
              <w:rPr>
                <w:rFonts w:hint="eastAsia" w:ascii="宋体" w:hAnsi="宋体" w:eastAsia="宋体" w:cs="宋体"/>
                <w:i w:val="0"/>
                <w:caps w:val="0"/>
                <w:color w:val="000000"/>
                <w:spacing w:val="0"/>
                <w:sz w:val="20"/>
                <w:szCs w:val="20"/>
                <w:bdr w:val="none" w:color="auto" w:sz="0" w:space="0"/>
              </w:rPr>
              <w:t>〈head〉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〈meta name=“SiteName” content=“中国政府网”〉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〈meta name=“SiteDomain”content=“www.gov.cn”〉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〈meta name=“SiteIDCode” content=“bm01000001”〉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〈/head〉</w:t>
            </w:r>
          </w:p>
        </w:tc>
      </w:tr>
    </w:tbl>
    <w:p>
      <w:pPr>
        <w:ind w:firstLine="640"/>
        <w:rPr>
          <w:rFonts w:hint="eastAsia" w:ascii="仿宋_GB2312" w:hAnsi="仿宋_GB2312" w:eastAsia="仿宋_GB2312" w:cs="仿宋_GB2312"/>
          <w:sz w:val="32"/>
          <w:szCs w:val="32"/>
        </w:rPr>
      </w:pPr>
    </w:p>
    <w:p>
      <w:pPr>
        <w:numPr>
          <w:ilvl w:val="0"/>
          <w:numId w:val="1"/>
        </w:numPr>
        <w:ind w:left="0" w:leftChars="0" w:firstLine="64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栏目标签。</w:t>
      </w: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95"/>
        <w:gridCol w:w="2196"/>
        <w:gridCol w:w="1277"/>
        <w:gridCol w:w="1276"/>
        <w:gridCol w:w="26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69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color w:val="000000"/>
                <w:sz w:val="20"/>
                <w:szCs w:val="20"/>
                <w:bdr w:val="none" w:color="auto" w:sz="0" w:space="0"/>
              </w:rPr>
              <w:t>规范名称</w:t>
            </w:r>
          </w:p>
        </w:tc>
        <w:tc>
          <w:tcPr>
            <w:tcW w:w="219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标签名称</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是否多值</w:t>
            </w:r>
          </w:p>
        </w:tc>
        <w:tc>
          <w:tcPr>
            <w:tcW w:w="12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设置要求</w:t>
            </w:r>
          </w:p>
        </w:tc>
        <w:tc>
          <w:tcPr>
            <w:tcW w:w="263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栏目名称</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ColumnName</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否</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必选</w:t>
            </w: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政府网站具体栏目的名称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栏目描述</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ColumnDescription</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是</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必选</w:t>
            </w: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反映栏目设置目的、主要内容的说明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栏目关键词</w:t>
            </w:r>
          </w:p>
        </w:tc>
        <w:tc>
          <w:tcPr>
            <w:tcW w:w="219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ColumnKeywords</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是</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必选</w:t>
            </w: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反映栏目内容特点的词语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栏目类别</w:t>
            </w:r>
          </w:p>
        </w:tc>
        <w:tc>
          <w:tcPr>
            <w:tcW w:w="2195"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bdr w:val="none" w:color="auto" w:sz="0" w:space="0"/>
              </w:rPr>
              <w:t>ColumnType</w:t>
            </w:r>
          </w:p>
        </w:tc>
        <w:tc>
          <w:tcPr>
            <w:tcW w:w="1276"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是</w:t>
            </w:r>
          </w:p>
        </w:tc>
        <w:tc>
          <w:tcPr>
            <w:tcW w:w="1275"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必选</w:t>
            </w: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概况信息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机构职能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负责人信息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工作动态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政策文件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信息公开指南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信息公开目录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信息公开年报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依申请公开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数据发布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数据开放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政策解读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回应关切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办事服务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咨询投诉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征集调查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在线访谈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63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w:t>
            </w:r>
          </w:p>
        </w:tc>
      </w:tr>
    </w:tbl>
    <w:p>
      <w:pPr>
        <w:numPr>
          <w:numId w:val="0"/>
        </w:numPr>
        <w:ind w:left="640" w:leftChars="0"/>
        <w:rPr>
          <w:rFonts w:hint="eastAsia" w:ascii="楷体_GB2312" w:hAnsi="楷体_GB2312" w:eastAsia="楷体_GB2312" w:cs="楷体_GB2312"/>
          <w:sz w:val="32"/>
          <w:szCs w:val="32"/>
        </w:rPr>
      </w:pPr>
    </w:p>
    <w:p>
      <w:pPr>
        <w:numPr>
          <w:numId w:val="0"/>
        </w:numPr>
        <w:ind w:left="640" w:leftChars="0"/>
        <w:rPr>
          <w:rFonts w:hint="eastAsia" w:ascii="仿宋_GB2312" w:hAnsi="仿宋_GB2312" w:eastAsia="仿宋_GB2312" w:cs="仿宋_GB2312"/>
          <w:sz w:val="32"/>
          <w:szCs w:val="32"/>
        </w:rPr>
      </w:pPr>
    </w:p>
    <w:p>
      <w:pPr>
        <w:numPr>
          <w:numId w:val="0"/>
        </w:numPr>
        <w:ind w:left="640" w:leftChars="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示例如下：</w:t>
      </w: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ascii="Calibri" w:hAnsi="Calibri" w:cs="Calibri"/>
                <w:sz w:val="21"/>
                <w:szCs w:val="21"/>
              </w:rPr>
            </w:pPr>
            <w:r>
              <w:rPr>
                <w:rFonts w:hint="eastAsia" w:ascii="宋体" w:hAnsi="宋体" w:eastAsia="宋体" w:cs="宋体"/>
                <w:color w:val="000000"/>
                <w:sz w:val="20"/>
                <w:szCs w:val="20"/>
                <w:bdr w:val="none" w:color="auto" w:sz="0" w:space="0"/>
              </w:rPr>
              <w:t>〈head〉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name=“SiteName” content=“中国政府网”〉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name=“SiteDomain”content=“www.gov.cn”〉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name=“SiteIDCode” content=“bm01000001”〉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name=“ColumnName” content=“政策”〉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w:t>
            </w:r>
            <w:r>
              <w:rPr>
                <w:rFonts w:hint="eastAsia" w:ascii="宋体" w:hAnsi="宋体" w:eastAsia="宋体" w:cs="宋体"/>
                <w:b w:val="0"/>
                <w:i w:val="0"/>
                <w:caps w:val="0"/>
                <w:color w:val="000000"/>
                <w:spacing w:val="0"/>
                <w:sz w:val="19"/>
                <w:szCs w:val="19"/>
                <w:bdr w:val="none" w:color="auto" w:sz="0" w:space="0"/>
                <w:shd w:val="clear" w:fill="FFFFFF"/>
              </w:rPr>
              <w:t>meta name</w:t>
            </w:r>
            <w:r>
              <w:rPr>
                <w:rFonts w:hint="eastAsia" w:ascii="宋体" w:hAnsi="宋体" w:eastAsia="宋体" w:cs="宋体"/>
                <w:color w:val="000000"/>
                <w:sz w:val="20"/>
                <w:szCs w:val="20"/>
                <w:bdr w:val="none" w:color="auto" w:sz="0" w:space="0"/>
              </w:rPr>
              <w:t>=“ColumnDescription” content=“中国政府网政策栏目发布中央和地方政府制定的法规，政策文件，中共中央有关文件，国务院公报，政府白皮书，政府信息公开，政策解读等。提供法律法规和已发布的文件的查询功能”〉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w:t>
            </w:r>
            <w:r>
              <w:rPr>
                <w:rFonts w:hint="eastAsia" w:ascii="宋体" w:hAnsi="宋体" w:eastAsia="宋体" w:cs="宋体"/>
                <w:b w:val="0"/>
                <w:i w:val="0"/>
                <w:caps w:val="0"/>
                <w:color w:val="000000"/>
                <w:spacing w:val="0"/>
                <w:sz w:val="19"/>
                <w:szCs w:val="19"/>
                <w:bdr w:val="none" w:color="auto" w:sz="0" w:space="0"/>
                <w:shd w:val="clear" w:fill="FFFFFF"/>
              </w:rPr>
              <w:t>meta name</w:t>
            </w:r>
            <w:r>
              <w:rPr>
                <w:rFonts w:hint="eastAsia" w:ascii="宋体" w:hAnsi="宋体" w:eastAsia="宋体" w:cs="宋体"/>
                <w:color w:val="000000"/>
                <w:sz w:val="20"/>
                <w:szCs w:val="20"/>
                <w:bdr w:val="none" w:color="auto" w:sz="0" w:space="0"/>
              </w:rPr>
              <w:t>=“ColumnKeywords” content=“国务院文件，行政法规，部门规章，中央文件，政府白皮书，国务院公报，政策专辑”〉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name=“ColumnType” content=“政策文件”〉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〈/head〉</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ascii="楷体" w:hAnsi="楷体" w:eastAsia="楷体" w:cs="楷体"/>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i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32"/>
          <w:szCs w:val="32"/>
          <w:bdr w:val="none" w:color="auto" w:sz="0" w:space="0"/>
          <w:shd w:val="clear" w:fill="FFFFFF"/>
        </w:rPr>
        <w:t>（三）内容页面标签。</w:t>
      </w: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37"/>
        <w:gridCol w:w="1703"/>
        <w:gridCol w:w="1561"/>
        <w:gridCol w:w="1418"/>
        <w:gridCol w:w="30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2" w:hRule="atLeast"/>
          <w:jc w:val="center"/>
        </w:trPr>
        <w:tc>
          <w:tcPr>
            <w:tcW w:w="133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规范名称</w:t>
            </w:r>
          </w:p>
        </w:tc>
        <w:tc>
          <w:tcPr>
            <w:tcW w:w="170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标签名称</w:t>
            </w:r>
          </w:p>
        </w:tc>
        <w:tc>
          <w:tcPr>
            <w:tcW w:w="15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是否多值</w:t>
            </w:r>
          </w:p>
        </w:tc>
        <w:tc>
          <w:tcPr>
            <w:tcW w:w="1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设置要求</w:t>
            </w:r>
          </w:p>
        </w:tc>
        <w:tc>
          <w:tcPr>
            <w:tcW w:w="305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标题</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ArticleTitle</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必选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具体内容信息的标题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发布时间</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PubDate</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必选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内容信息的发布时间，格式为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DD HH</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7"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来源</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ContentSource</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必选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文章的发布单位或转载来源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7"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关键词</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Keywords</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可选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反映文章信息内容特点的词语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2"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作者</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Author</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可选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文章的作者或责任编辑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2"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摘要</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Description</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可选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内容信息的内容概要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7"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图片</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Image</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可选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正文中图片</w:t>
            </w:r>
            <w:r>
              <w:rPr>
                <w:rFonts w:hint="default" w:ascii="Calibri" w:hAnsi="Calibri" w:cs="Calibri"/>
                <w:sz w:val="20"/>
                <w:szCs w:val="20"/>
                <w:bdr w:val="none" w:color="auto" w:sz="0" w:space="0"/>
              </w:rPr>
              <w:t>URL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jc w:val="center"/>
        </w:trPr>
        <w:tc>
          <w:tcPr>
            <w:tcW w:w="13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网址</w:t>
            </w:r>
          </w:p>
        </w:tc>
        <w:tc>
          <w:tcPr>
            <w:tcW w:w="170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Url</w:t>
            </w:r>
          </w:p>
        </w:tc>
        <w:tc>
          <w:tcPr>
            <w:tcW w:w="156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否</w:t>
            </w:r>
          </w:p>
        </w:tc>
        <w:tc>
          <w:tcPr>
            <w:tcW w:w="14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可选</w:t>
            </w:r>
          </w:p>
        </w:tc>
        <w:tc>
          <w:tcPr>
            <w:tcW w:w="305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文章的</w:t>
            </w:r>
            <w:r>
              <w:rPr>
                <w:rFonts w:hint="default" w:ascii="Calibri" w:hAnsi="Calibri" w:cs="Calibri"/>
                <w:sz w:val="20"/>
                <w:szCs w:val="20"/>
                <w:bdr w:val="none" w:color="auto" w:sz="0" w:space="0"/>
              </w:rPr>
              <w:t>URL</w:t>
            </w:r>
            <w:r>
              <w:rPr>
                <w:rFonts w:hint="eastAsia" w:ascii="宋体" w:hAnsi="宋体" w:eastAsia="宋体" w:cs="宋体"/>
                <w:sz w:val="20"/>
                <w:szCs w:val="20"/>
                <w:bdr w:val="none" w:color="auto" w:sz="0" w:space="0"/>
              </w:rPr>
              <w:t>地址</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仿宋_GB2312" w:hAnsi="仿宋_GB2312" w:eastAsia="仿宋_GB2312" w:cs="仿宋_GB2312"/>
          <w:i w:val="0"/>
          <w:caps w:val="0"/>
          <w:color w:val="333333"/>
          <w:spacing w:val="0"/>
          <w:sz w:val="32"/>
          <w:szCs w:val="32"/>
          <w:bdr w:val="none" w:color="auto" w:sz="0" w:space="0"/>
          <w:shd w:val="clear" w:fill="FFFFFF"/>
        </w:rPr>
        <w:t>示例如下：</w:t>
      </w: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〈head〉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name=“SiteName” content=“中国政府网”〉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name=“SiteDomain”content=“www.gov.cn”〉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name=“SiteIDCode” content=“bm01000001”〉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name=“ColumnName” content=“要闻”〉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name=“ColumnType” content=“工作动态”〉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name=“ArticleTitle” content=“今天的国务院常务会议定了这3件大事”〉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name=“PubDate” content=“2017—04—12 21∶37”〉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name=“ContentSource” content=“中国政府网”〉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〈meta name=“Keywords” content=“国务院常务会，医疗联合体，中小学，幼儿园，安全风险防控，统计法”〉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name=“Author”content=“陆茜”〉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bdr w:val="none" w:color="auto" w:sz="0" w:space="0"/>
              </w:rPr>
              <w:t>〈meta name=“Description” content=“部署推进医疗联合体建设，部署加强中小学幼儿园安全风险防控体系建设，通过《中华人民共和国统计法实施条例（草案）》。4月12日的国务院常务会定了这3件大事，会上，李克强总理对这些工作作出了哪些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〈meta name=“Url”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0"/>
                <w:szCs w:val="20"/>
                <w:bdr w:val="none" w:color="auto" w:sz="0" w:space="0"/>
                <w:lang w:val="en-US" w:eastAsia="zh-CN" w:bidi="ar"/>
              </w:rPr>
              <w:t>content=“www.gov.cn/xinwen/2017—04/12/content_5185257.htm”〉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bdr w:val="none" w:color="auto" w:sz="0" w:space="0"/>
              </w:rPr>
              <w:t>〈/head〉</w:t>
            </w:r>
            <w:r>
              <w:rPr>
                <w:rFonts w:hint="default" w:ascii="Calibri" w:hAnsi="Calibri" w:cs="Calibri"/>
                <w:sz w:val="20"/>
                <w:szCs w:val="20"/>
                <w:bdr w:val="none" w:color="auto" w:sz="0" w:space="0"/>
              </w:rPr>
              <w:t> </w:t>
            </w:r>
          </w:p>
        </w:tc>
      </w:tr>
    </w:tbl>
    <w:p>
      <w:pPr>
        <w:numPr>
          <w:numId w:val="0"/>
        </w:numPr>
        <w:ind w:left="640" w:leftChars="0"/>
        <w:rPr>
          <w:rFonts w:hint="eastAsia" w:ascii="楷体_GB2312" w:hAnsi="楷体_GB2312" w:eastAsia="楷体_GB2312" w:cs="楷体_GB2312"/>
          <w:sz w:val="32"/>
          <w:szCs w:val="32"/>
        </w:rPr>
      </w:pPr>
    </w:p>
    <w:p>
      <w:pPr>
        <w:numPr>
          <w:numId w:val="0"/>
        </w:numPr>
        <w:ind w:left="640" w:leftChars="0"/>
        <w:rPr>
          <w:rFonts w:hint="eastAsia" w:ascii="楷体_GB2312" w:hAnsi="楷体_GB2312" w:eastAsia="楷体_GB2312" w:cs="楷体_GB2312"/>
          <w:sz w:val="32"/>
          <w:szCs w:val="32"/>
        </w:rPr>
      </w:pPr>
    </w:p>
    <w:p>
      <w:pPr>
        <w:numPr>
          <w:numId w:val="0"/>
        </w:numPr>
        <w:ind w:left="0" w:leftChars="0"/>
        <w:rPr>
          <w:rFonts w:hint="eastAsia" w:ascii="楷体_GB2312" w:hAnsi="楷体_GB2312" w:eastAsia="楷体_GB2312" w:cs="楷体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四、其他</w:t>
      </w:r>
    </w:p>
    <w:p>
      <w:pPr>
        <w:numPr>
          <w:numId w:val="0"/>
        </w:numPr>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要方便公众浏览使用，页面内容要便于复制、保存和打印。要最大限度减少用户额外安装组件、控件或插件；确需使用的，要便于在相关页面获取和安装。应用系统、附件、视频等应有效可用，名称要直观准确。附件、视频等格式应便于常用软件打开，避免用户额外安装软件。避免使用悬浮、闪烁等方式，确需使用悬浮框的必须具备关闭功能。</w:t>
      </w:r>
    </w:p>
    <w:p>
      <w:pPr>
        <w:numPr>
          <w:numId w:val="0"/>
        </w:numPr>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政府网站严禁刊登商业广告或链接商业广告页面。</w:t>
      </w:r>
    </w:p>
    <w:p>
      <w:pPr>
        <w:numPr>
          <w:numId w:val="0"/>
        </w:numPr>
        <w:ind w:left="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政府网站主办、承办单位要根据用户的访问和使用情况，对网站展现进行常态化优化调整。</w:t>
      </w:r>
    </w:p>
    <w:sectPr>
      <w:footerReference r:id="rId3" w:type="default"/>
      <w:pgSz w:w="11906" w:h="16838"/>
      <w:pgMar w:top="2098" w:right="1474" w:bottom="1984" w:left="1587" w:header="567" w:footer="164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超粗黑简体">
    <w:panose1 w:val="03000509000000000000"/>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拼音字库01">
    <w:panose1 w:val="03000509000000000000"/>
    <w:charset w:val="86"/>
    <w:family w:val="auto"/>
    <w:pitch w:val="default"/>
    <w:sig w:usb0="00000001" w:usb1="080E0000" w:usb2="00000000" w:usb3="00000000" w:csb0="00040001" w:csb1="00000000"/>
  </w:font>
  <w:font w:name="方正楷体拼音字库05">
    <w:panose1 w:val="03000509000000000000"/>
    <w:charset w:val="86"/>
    <w:family w:val="auto"/>
    <w:pitch w:val="default"/>
    <w:sig w:usb0="00000001" w:usb1="080E0000" w:usb2="00000000" w:usb3="00000000" w:csb0="00040001" w:csb1="00000000"/>
  </w:font>
  <w:font w:name="方正特粗光辉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中隶体">
    <w:panose1 w:val="02010609010101010101"/>
    <w:charset w:val="00"/>
    <w:family w:val="auto"/>
    <w:pitch w:val="default"/>
    <w:sig w:usb0="00000000" w:usb1="00000000" w:usb2="00000000" w:usb3="00000000" w:csb0="00000000" w:csb1="00000000"/>
  </w:font>
  <w:font w:name="超世纪细角篆">
    <w:panose1 w:val="02000000000000000000"/>
    <w:charset w:val="88"/>
    <w:family w:val="auto"/>
    <w:pitch w:val="default"/>
    <w:sig w:usb0="00000003" w:usb1="28880000" w:usb2="00000006" w:usb3="00000000" w:csb0="00100000" w:csb1="00000000"/>
  </w:font>
  <w:font w:name="方正流行体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超世纪粗方篆">
    <w:panose1 w:val="02000000000000000000"/>
    <w:charset w:val="88"/>
    <w:family w:val="auto"/>
    <w:pitch w:val="default"/>
    <w:sig w:usb0="00000003" w:usb1="28880000" w:usb2="00000006" w:usb3="00000000" w:csb0="00100000" w:csb1="00000000"/>
  </w:font>
  <w:font w:name="方正藏体简体">
    <w:panose1 w:val="02000000000000000000"/>
    <w:charset w:val="86"/>
    <w:family w:val="auto"/>
    <w:pitch w:val="default"/>
    <w:sig w:usb0="00000001" w:usb1="0800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悬针篆变简体">
    <w:panose1 w:val="02000000000000000000"/>
    <w:charset w:val="86"/>
    <w:family w:val="auto"/>
    <w:pitch w:val="default"/>
    <w:sig w:usb0="00000001" w:usb1="08000000" w:usb2="00000000" w:usb3="00000000" w:csb0="00040000" w:csb1="00000000"/>
  </w:font>
  <w:font w:name="汉仪超粗宋简">
    <w:panose1 w:val="02010609000101010101"/>
    <w:charset w:val="86"/>
    <w:family w:val="auto"/>
    <w:pitch w:val="default"/>
    <w:sig w:usb0="00000001" w:usb1="080E0800" w:usb2="00000002" w:usb3="00000000" w:csb0="00040000" w:csb1="00000000"/>
  </w:font>
  <w:font w:name="华康方圆体W7(P)">
    <w:panose1 w:val="040B0700000000000000"/>
    <w:charset w:val="86"/>
    <w:family w:val="auto"/>
    <w:pitch w:val="default"/>
    <w:sig w:usb0="00000001" w:usb1="08010000" w:usb2="00000012" w:usb3="00000000" w:csb0="00040000" w:csb1="00000000"/>
  </w:font>
  <w:font w:name="华康唐风隶W5">
    <w:panose1 w:val="03000509000000000000"/>
    <w:charset w:val="86"/>
    <w:family w:val="auto"/>
    <w:pitch w:val="default"/>
    <w:sig w:usb0="00000001" w:usb1="08010000" w:usb2="00000012" w:usb3="00000000" w:csb0="00040000" w:csb1="00000000"/>
  </w:font>
  <w:font w:name="经典长宋简">
    <w:panose1 w:val="02010609000101010101"/>
    <w:charset w:val="86"/>
    <w:family w:val="auto"/>
    <w:pitch w:val="default"/>
    <w:sig w:usb0="A1007AEF" w:usb1="F9DF7CFB" w:usb2="0000001E" w:usb3="00000000" w:csb0="20040000" w:csb1="00000000"/>
  </w:font>
  <w:font w:name="经典中圆简">
    <w:panose1 w:val="02010609000101010101"/>
    <w:charset w:val="86"/>
    <w:family w:val="auto"/>
    <w:pitch w:val="default"/>
    <w:sig w:usb0="A1007AEF" w:usb1="F9DF7CFB" w:usb2="0000001E" w:usb3="00000000" w:csb0="20040000" w:csb1="00000000"/>
  </w:font>
  <w:font w:name="经典综艺体简">
    <w:panose1 w:val="0201060900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特黑简">
    <w:panose1 w:val="02010609010101010101"/>
    <w:charset w:val="86"/>
    <w:family w:val="auto"/>
    <w:pitch w:val="default"/>
    <w:sig w:usb0="A1007AEF" w:usb1="F9DF7CFB" w:usb2="0000001E" w:usb3="00000000" w:csb0="20040000" w:csb1="00000000"/>
  </w:font>
  <w:font w:name="方正报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豪体简体">
    <w:panose1 w:val="03000509000000000000"/>
    <w:charset w:val="86"/>
    <w:family w:val="auto"/>
    <w:pitch w:val="default"/>
    <w:sig w:usb0="00000001" w:usb1="080E0000" w:usb2="00000000" w:usb3="00000000" w:csb0="003C0041" w:csb1="A0080000"/>
  </w:font>
  <w:font w:name="方正卡通简体">
    <w:panose1 w:val="03000509000000000000"/>
    <w:charset w:val="86"/>
    <w:family w:val="auto"/>
    <w:pitch w:val="default"/>
    <w:sig w:usb0="00000001" w:usb1="080E0000" w:usb2="00000000" w:usb3="00000000" w:csb0="00040000" w:csb1="00000000"/>
  </w:font>
  <w:font w:name="方正楷体拼音字库04">
    <w:panose1 w:val="03000509000000000000"/>
    <w:charset w:val="86"/>
    <w:family w:val="auto"/>
    <w:pitch w:val="default"/>
    <w:sig w:usb0="00000001" w:usb1="080E0000" w:usb2="00000000" w:usb3="00000000" w:csb0="00040001" w:csb1="00000000"/>
  </w:font>
  <w:font w:name="方正兰亭中黑_GBK">
    <w:panose1 w:val="02000000000000000000"/>
    <w:charset w:val="86"/>
    <w:family w:val="auto"/>
    <w:pitch w:val="default"/>
    <w:sig w:usb0="800002BF" w:usb1="38CF7CFA" w:usb2="00082016"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韵动特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w:t>
                    </w:r>
                  </w:p>
                </w:txbxContent>
              </v:textbox>
            </v:shape>
          </w:pict>
        </mc:Fallback>
      </mc:AlternateContent>
    </w:r>
    <w:r>
      <w:rPr>
        <w:rFonts w:hint="eastAsia"/>
        <w:lang w:eastAsia="zh-CN"/>
      </w:rPr>
      <w:t>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8B486"/>
    <w:multiLevelType w:val="singleLevel"/>
    <w:tmpl w:val="8FE8B4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4"/>
  <w:drawingGridVerticalSpacing w:val="22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5271"/>
    <w:rsid w:val="46CA5271"/>
    <w:rsid w:val="5503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2021-08-02T01:37:00Z</dcterms:created>
  <dc:creator>Administrator</dc:creator>
  <cp:lastModifiedBy>Administrator</cp:lastModifiedBy>
  <dcterms:modified xsi:type="dcterms:W3CDTF">2021-08-02T02:45:54Z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