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eastAsia="方正小标宋简体"/>
          <w:sz w:val="44"/>
          <w:szCs w:val="44"/>
        </w:rPr>
      </w:pPr>
      <w:bookmarkStart w:id="0" w:name="_Toc50991667"/>
    </w:p>
    <w:p>
      <w:pPr>
        <w:spacing w:line="660" w:lineRule="exact"/>
        <w:jc w:val="center"/>
        <w:rPr>
          <w:rFonts w:eastAsia="方正小标宋简体"/>
          <w:sz w:val="44"/>
          <w:szCs w:val="44"/>
        </w:rPr>
      </w:pPr>
    </w:p>
    <w:p>
      <w:pPr>
        <w:spacing w:line="660" w:lineRule="exact"/>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2019年度汾渭平原铜川市大气污染防治</w:t>
      </w:r>
    </w:p>
    <w:p>
      <w:pPr>
        <w:spacing w:line="660" w:lineRule="exact"/>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“一市一策”跟踪研究项目支出</w:t>
      </w:r>
    </w:p>
    <w:p>
      <w:pPr>
        <w:spacing w:line="660" w:lineRule="exact"/>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绩效评价报告</w:t>
      </w:r>
    </w:p>
    <w:p>
      <w:pPr>
        <w:spacing w:line="660" w:lineRule="exact"/>
        <w:jc w:val="center"/>
        <w:rPr>
          <w:rFonts w:eastAsia="仿宋_GB2312"/>
          <w:sz w:val="32"/>
          <w:szCs w:val="32"/>
        </w:rPr>
      </w:pPr>
    </w:p>
    <w:p>
      <w:pPr>
        <w:spacing w:line="660" w:lineRule="exact"/>
        <w:jc w:val="center"/>
        <w:rPr>
          <w:rFonts w:eastAsia="仿宋_GB2312"/>
          <w:sz w:val="44"/>
          <w:szCs w:val="44"/>
        </w:rPr>
      </w:pPr>
      <w:bookmarkStart w:id="427" w:name="_GoBack"/>
      <w:bookmarkEnd w:id="427"/>
    </w:p>
    <w:p>
      <w:pPr>
        <w:spacing w:line="660" w:lineRule="exact"/>
        <w:jc w:val="center"/>
        <w:rPr>
          <w:rFonts w:hint="eastAsia" w:eastAsia="仿宋_GB2312"/>
          <w:sz w:val="44"/>
          <w:szCs w:val="44"/>
        </w:rPr>
      </w:pPr>
    </w:p>
    <w:p>
      <w:pPr>
        <w:spacing w:line="660" w:lineRule="exact"/>
        <w:jc w:val="center"/>
        <w:rPr>
          <w:rFonts w:eastAsia="仿宋_GB2312"/>
          <w:sz w:val="44"/>
          <w:szCs w:val="44"/>
        </w:rPr>
      </w:pPr>
    </w:p>
    <w:p>
      <w:pPr>
        <w:spacing w:line="660" w:lineRule="exact"/>
        <w:ind w:firstLine="640" w:firstLineChars="200"/>
        <w:rPr>
          <w:rFonts w:eastAsia="仿宋_GB2312"/>
          <w:sz w:val="32"/>
          <w:szCs w:val="32"/>
        </w:rPr>
      </w:pPr>
      <w:r>
        <w:rPr>
          <w:rFonts w:eastAsia="仿宋_GB2312"/>
          <w:sz w:val="32"/>
          <w:szCs w:val="32"/>
        </w:rPr>
        <w:t>项目名称：汾渭平原铜川市大气污染防治“一市一策”</w:t>
      </w:r>
    </w:p>
    <w:p>
      <w:pPr>
        <w:spacing w:line="660" w:lineRule="exact"/>
        <w:ind w:firstLine="2124" w:firstLineChars="664"/>
        <w:rPr>
          <w:rFonts w:eastAsia="仿宋_GB2312"/>
          <w:sz w:val="32"/>
          <w:szCs w:val="32"/>
        </w:rPr>
      </w:pPr>
      <w:r>
        <w:rPr>
          <w:rFonts w:eastAsia="仿宋_GB2312"/>
          <w:sz w:val="32"/>
          <w:szCs w:val="32"/>
        </w:rPr>
        <w:t>跟踪研究</w:t>
      </w:r>
      <w:r>
        <w:rPr>
          <w:rFonts w:hint="eastAsia" w:eastAsia="仿宋_GB2312"/>
          <w:sz w:val="32"/>
          <w:szCs w:val="32"/>
        </w:rPr>
        <w:t>项目</w:t>
      </w:r>
    </w:p>
    <w:p>
      <w:pPr>
        <w:spacing w:line="660" w:lineRule="exact"/>
        <w:ind w:firstLine="640" w:firstLineChars="200"/>
        <w:jc w:val="left"/>
        <w:rPr>
          <w:rFonts w:eastAsia="仿宋_GB2312"/>
          <w:sz w:val="32"/>
          <w:szCs w:val="32"/>
        </w:rPr>
      </w:pPr>
      <w:r>
        <w:rPr>
          <w:rFonts w:eastAsia="仿宋_GB2312"/>
          <w:sz w:val="32"/>
          <w:szCs w:val="32"/>
        </w:rPr>
        <w:t>项目单位：铜川市生态环境局</w:t>
      </w:r>
    </w:p>
    <w:p>
      <w:pPr>
        <w:spacing w:line="660" w:lineRule="exact"/>
        <w:ind w:firstLine="640" w:firstLineChars="200"/>
        <w:jc w:val="left"/>
        <w:rPr>
          <w:rFonts w:eastAsia="仿宋_GB2312"/>
          <w:sz w:val="32"/>
          <w:szCs w:val="32"/>
        </w:rPr>
      </w:pPr>
      <w:r>
        <w:rPr>
          <w:rFonts w:hint="eastAsia" w:eastAsia="仿宋_GB2312"/>
          <w:sz w:val="32"/>
          <w:szCs w:val="32"/>
        </w:rPr>
        <w:t>组织</w:t>
      </w:r>
      <w:r>
        <w:rPr>
          <w:rFonts w:eastAsia="仿宋_GB2312"/>
          <w:sz w:val="32"/>
          <w:szCs w:val="32"/>
        </w:rPr>
        <w:t>单位：铜川市</w:t>
      </w:r>
      <w:r>
        <w:rPr>
          <w:rFonts w:hint="eastAsia" w:eastAsia="仿宋_GB2312"/>
          <w:sz w:val="32"/>
          <w:szCs w:val="32"/>
        </w:rPr>
        <w:t>预算</w:t>
      </w:r>
      <w:r>
        <w:rPr>
          <w:rFonts w:eastAsia="仿宋_GB2312"/>
          <w:sz w:val="32"/>
          <w:szCs w:val="32"/>
        </w:rPr>
        <w:t>评审中心</w:t>
      </w:r>
    </w:p>
    <w:p>
      <w:pPr>
        <w:spacing w:line="660" w:lineRule="exact"/>
        <w:ind w:firstLine="640" w:firstLineChars="200"/>
        <w:jc w:val="left"/>
        <w:rPr>
          <w:rFonts w:eastAsia="仿宋_GB2312"/>
          <w:sz w:val="32"/>
          <w:szCs w:val="32"/>
        </w:rPr>
      </w:pPr>
      <w:r>
        <w:rPr>
          <w:rFonts w:hint="eastAsia" w:eastAsia="仿宋_GB2312"/>
          <w:sz w:val="32"/>
          <w:szCs w:val="32"/>
        </w:rPr>
        <w:t>评价单位：陕西公立会计师事务所有限责任公司</w:t>
      </w:r>
    </w:p>
    <w:p>
      <w:pPr>
        <w:spacing w:line="660" w:lineRule="exact"/>
        <w:ind w:firstLine="640" w:firstLineChars="200"/>
        <w:jc w:val="left"/>
        <w:rPr>
          <w:rFonts w:eastAsia="仿宋_GB2312"/>
          <w:sz w:val="32"/>
          <w:szCs w:val="32"/>
        </w:rPr>
      </w:pPr>
      <w:r>
        <w:rPr>
          <w:rFonts w:eastAsia="仿宋_GB2312"/>
          <w:sz w:val="32"/>
          <w:szCs w:val="32"/>
        </w:rPr>
        <w:t>咨询单位：正衡房地产资产评估有限公司</w:t>
      </w:r>
    </w:p>
    <w:p>
      <w:pPr>
        <w:spacing w:line="660" w:lineRule="exact"/>
        <w:ind w:firstLine="640" w:firstLineChars="200"/>
        <w:jc w:val="left"/>
        <w:rPr>
          <w:rFonts w:hint="eastAsia" w:eastAsia="仿宋_GB2312"/>
          <w:sz w:val="32"/>
          <w:szCs w:val="32"/>
        </w:rPr>
      </w:pPr>
    </w:p>
    <w:p>
      <w:pPr>
        <w:spacing w:line="660" w:lineRule="exact"/>
        <w:ind w:firstLine="640" w:firstLineChars="200"/>
        <w:jc w:val="left"/>
        <w:rPr>
          <w:rFonts w:hint="eastAsia" w:eastAsia="仿宋_GB2312"/>
          <w:sz w:val="32"/>
          <w:szCs w:val="32"/>
        </w:rPr>
      </w:pPr>
    </w:p>
    <w:p>
      <w:pPr>
        <w:spacing w:line="660" w:lineRule="exact"/>
        <w:ind w:firstLine="640" w:firstLineChars="200"/>
        <w:jc w:val="left"/>
        <w:rPr>
          <w:rFonts w:eastAsia="仿宋_GB2312"/>
          <w:sz w:val="32"/>
          <w:szCs w:val="32"/>
        </w:rPr>
      </w:pPr>
    </w:p>
    <w:p>
      <w:pPr>
        <w:spacing w:line="660" w:lineRule="exact"/>
        <w:jc w:val="center"/>
        <w:rPr>
          <w:rFonts w:eastAsia="方正小标宋简体"/>
          <w:sz w:val="44"/>
          <w:szCs w:val="44"/>
        </w:rPr>
      </w:pPr>
      <w:r>
        <w:rPr>
          <w:rFonts w:eastAsia="仿宋_GB2312"/>
          <w:sz w:val="32"/>
          <w:szCs w:val="32"/>
        </w:rPr>
        <w:t>2020年10月</w:t>
      </w:r>
      <w:bookmarkEnd w:id="0"/>
    </w:p>
    <w:p>
      <w:pPr>
        <w:widowControl/>
        <w:jc w:val="center"/>
        <w:rPr>
          <w:rFonts w:eastAsia="方正小标宋简体"/>
          <w:sz w:val="44"/>
          <w:szCs w:val="44"/>
        </w:rPr>
      </w:pPr>
      <w:bookmarkStart w:id="1" w:name="_Toc5518"/>
      <w:bookmarkStart w:id="2" w:name="_Toc50991669"/>
      <w:bookmarkStart w:id="3" w:name="_Toc50989638"/>
      <w:bookmarkStart w:id="4" w:name="_Toc50990411"/>
      <w:bookmarkStart w:id="5" w:name="_Toc50989333"/>
      <w:r>
        <w:rPr>
          <w:rFonts w:eastAsia="仿宋_GB2312"/>
          <w:sz w:val="32"/>
          <w:szCs w:val="32"/>
        </w:rPr>
        <w:br w:type="page"/>
      </w:r>
      <w:r>
        <w:rPr>
          <w:rFonts w:hint="eastAsia" w:eastAsia="方正小标宋简体"/>
          <w:sz w:val="44"/>
          <w:szCs w:val="44"/>
        </w:rPr>
        <w:t>目  录</w:t>
      </w:r>
    </w:p>
    <w:p>
      <w:pPr>
        <w:pStyle w:val="10"/>
        <w:tabs>
          <w:tab w:val="right" w:leader="dot" w:pos="8834"/>
        </w:tabs>
        <w:spacing w:line="560" w:lineRule="exact"/>
        <w:rPr>
          <w:rFonts w:eastAsia="仿宋_GB2312" w:cstheme="minorBidi"/>
          <w:sz w:val="32"/>
          <w:szCs w:val="32"/>
        </w:rPr>
      </w:pPr>
      <w:r>
        <w:rPr>
          <w:rFonts w:hint="eastAsia" w:eastAsia="仿宋_GB2312"/>
          <w:sz w:val="32"/>
          <w:szCs w:val="32"/>
        </w:rPr>
        <w:fldChar w:fldCharType="begin"/>
      </w:r>
      <w:r>
        <w:rPr>
          <w:rFonts w:hint="eastAsia" w:eastAsia="仿宋_GB2312"/>
          <w:sz w:val="32"/>
          <w:szCs w:val="32"/>
        </w:rPr>
        <w:instrText xml:space="preserve"> TOC \o "1-2" \h \z \u </w:instrText>
      </w:r>
      <w:r>
        <w:rPr>
          <w:rFonts w:hint="eastAsia" w:eastAsia="仿宋_GB2312"/>
          <w:sz w:val="32"/>
          <w:szCs w:val="32"/>
        </w:rPr>
        <w:fldChar w:fldCharType="separate"/>
      </w:r>
      <w:r>
        <w:fldChar w:fldCharType="begin"/>
      </w:r>
      <w:r>
        <w:instrText xml:space="preserve"> HYPERLINK \l "_Toc54202974" </w:instrText>
      </w:r>
      <w:r>
        <w:fldChar w:fldCharType="separate"/>
      </w:r>
      <w:r>
        <w:rPr>
          <w:rStyle w:val="17"/>
          <w:rFonts w:hint="eastAsia" w:eastAsia="仿宋_GB2312"/>
          <w:sz w:val="32"/>
          <w:szCs w:val="32"/>
        </w:rPr>
        <w:t>摘  要</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_Toc54202974 \h </w:instrText>
      </w:r>
      <w:r>
        <w:rPr>
          <w:rFonts w:hint="eastAsia" w:eastAsia="仿宋_GB2312"/>
          <w:sz w:val="32"/>
          <w:szCs w:val="32"/>
        </w:rPr>
        <w:fldChar w:fldCharType="separate"/>
      </w:r>
      <w:r>
        <w:rPr>
          <w:rFonts w:eastAsia="仿宋_GB2312"/>
          <w:sz w:val="32"/>
          <w:szCs w:val="32"/>
        </w:rPr>
        <w:t>1</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"_Toc54202978" </w:instrText>
      </w:r>
      <w:r>
        <w:fldChar w:fldCharType="separate"/>
      </w:r>
      <w:r>
        <w:rPr>
          <w:rStyle w:val="17"/>
          <w:rFonts w:hint="eastAsia" w:eastAsia="仿宋_GB2312"/>
          <w:sz w:val="32"/>
          <w:szCs w:val="32"/>
        </w:rPr>
        <w:t>一、项目概况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_Toc54202978 \h </w:instrText>
      </w:r>
      <w:r>
        <w:rPr>
          <w:rFonts w:hint="eastAsia" w:eastAsia="仿宋_GB2312"/>
          <w:sz w:val="32"/>
          <w:szCs w:val="32"/>
        </w:rPr>
        <w:fldChar w:fldCharType="separate"/>
      </w:r>
      <w:r>
        <w:rPr>
          <w:rFonts w:eastAsia="仿宋_GB2312"/>
          <w:sz w:val="32"/>
          <w:szCs w:val="32"/>
        </w:rPr>
        <w:t>1</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"_Toc54202979" </w:instrText>
      </w:r>
      <w:r>
        <w:fldChar w:fldCharType="separate"/>
      </w:r>
      <w:r>
        <w:rPr>
          <w:rStyle w:val="17"/>
          <w:rFonts w:hint="eastAsia" w:eastAsia="仿宋_GB2312"/>
          <w:sz w:val="32"/>
          <w:szCs w:val="32"/>
        </w:rPr>
        <w:t>（一）项目背景</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_Toc54202979 \h </w:instrText>
      </w:r>
      <w:r>
        <w:rPr>
          <w:rFonts w:hint="eastAsia" w:eastAsia="仿宋_GB2312"/>
          <w:sz w:val="32"/>
          <w:szCs w:val="32"/>
        </w:rPr>
        <w:fldChar w:fldCharType="separate"/>
      </w:r>
      <w:r>
        <w:rPr>
          <w:rFonts w:eastAsia="仿宋_GB2312"/>
          <w:sz w:val="32"/>
          <w:szCs w:val="32"/>
        </w:rPr>
        <w:t>1</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"_Toc54202980" </w:instrText>
      </w:r>
      <w:r>
        <w:fldChar w:fldCharType="separate"/>
      </w:r>
      <w:r>
        <w:rPr>
          <w:rStyle w:val="17"/>
          <w:rFonts w:hint="eastAsia" w:eastAsia="仿宋_GB2312"/>
          <w:sz w:val="32"/>
          <w:szCs w:val="32"/>
        </w:rPr>
        <w:t>（二）项目主要内容及实施情况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_Toc54202980 \h </w:instrText>
      </w:r>
      <w:r>
        <w:rPr>
          <w:rFonts w:hint="eastAsia" w:eastAsia="仿宋_GB2312"/>
          <w:sz w:val="32"/>
          <w:szCs w:val="32"/>
        </w:rPr>
        <w:fldChar w:fldCharType="separate"/>
      </w:r>
      <w:r>
        <w:rPr>
          <w:rFonts w:eastAsia="仿宋_GB2312"/>
          <w:sz w:val="32"/>
          <w:szCs w:val="32"/>
        </w:rPr>
        <w:t>3</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"_Toc54202981" </w:instrText>
      </w:r>
      <w:r>
        <w:fldChar w:fldCharType="separate"/>
      </w:r>
      <w:r>
        <w:rPr>
          <w:rStyle w:val="17"/>
          <w:rFonts w:hint="eastAsia" w:eastAsia="仿宋_GB2312"/>
          <w:sz w:val="32"/>
          <w:szCs w:val="32"/>
        </w:rPr>
        <w:t>（三）项目资金安排及使用情况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_Toc54202981 \h </w:instrText>
      </w:r>
      <w:r>
        <w:rPr>
          <w:rFonts w:hint="eastAsia" w:eastAsia="仿宋_GB2312"/>
          <w:sz w:val="32"/>
          <w:szCs w:val="32"/>
        </w:rPr>
        <w:fldChar w:fldCharType="separate"/>
      </w:r>
      <w:r>
        <w:rPr>
          <w:rFonts w:eastAsia="仿宋_GB2312"/>
          <w:sz w:val="32"/>
          <w:szCs w:val="32"/>
        </w:rPr>
        <w:t>5</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"_Toc54202982" </w:instrText>
      </w:r>
      <w:r>
        <w:fldChar w:fldCharType="separate"/>
      </w:r>
      <w:r>
        <w:rPr>
          <w:rStyle w:val="17"/>
          <w:rFonts w:hint="eastAsia" w:eastAsia="仿宋_GB2312"/>
          <w:sz w:val="32"/>
          <w:szCs w:val="32"/>
        </w:rPr>
        <w:t>（四）绩效目标</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_Toc54202982 \h </w:instrText>
      </w:r>
      <w:r>
        <w:rPr>
          <w:rFonts w:hint="eastAsia" w:eastAsia="仿宋_GB2312"/>
          <w:sz w:val="32"/>
          <w:szCs w:val="32"/>
        </w:rPr>
        <w:fldChar w:fldCharType="separate"/>
      </w:r>
      <w:r>
        <w:rPr>
          <w:rFonts w:eastAsia="仿宋_GB2312"/>
          <w:sz w:val="32"/>
          <w:szCs w:val="32"/>
        </w:rPr>
        <w:t>6</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"_Toc54202987" </w:instrText>
      </w:r>
      <w:r>
        <w:fldChar w:fldCharType="separate"/>
      </w:r>
      <w:r>
        <w:rPr>
          <w:rStyle w:val="17"/>
          <w:rFonts w:hint="eastAsia" w:eastAsia="仿宋_GB2312"/>
          <w:sz w:val="32"/>
          <w:szCs w:val="32"/>
        </w:rPr>
        <w:t>二、绩效评价工作开展情况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_Toc54202987 \h </w:instrText>
      </w:r>
      <w:r>
        <w:rPr>
          <w:rFonts w:hint="eastAsia" w:eastAsia="仿宋_GB2312"/>
          <w:sz w:val="32"/>
          <w:szCs w:val="32"/>
        </w:rPr>
        <w:fldChar w:fldCharType="separate"/>
      </w:r>
      <w:r>
        <w:rPr>
          <w:rFonts w:eastAsia="仿宋_GB2312"/>
          <w:sz w:val="32"/>
          <w:szCs w:val="32"/>
        </w:rPr>
        <w:t>7</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"_Toc54202988" </w:instrText>
      </w:r>
      <w:r>
        <w:fldChar w:fldCharType="separate"/>
      </w:r>
      <w:r>
        <w:rPr>
          <w:rStyle w:val="17"/>
          <w:rFonts w:hint="eastAsia" w:eastAsia="仿宋_GB2312"/>
          <w:sz w:val="32"/>
          <w:szCs w:val="32"/>
        </w:rPr>
        <w:t>（一）绩效评价目的、对象和范围</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_Toc54202988 \h </w:instrText>
      </w:r>
      <w:r>
        <w:rPr>
          <w:rFonts w:hint="eastAsia" w:eastAsia="仿宋_GB2312"/>
          <w:sz w:val="32"/>
          <w:szCs w:val="32"/>
        </w:rPr>
        <w:fldChar w:fldCharType="separate"/>
      </w:r>
      <w:r>
        <w:rPr>
          <w:rFonts w:eastAsia="仿宋_GB2312"/>
          <w:sz w:val="32"/>
          <w:szCs w:val="32"/>
        </w:rPr>
        <w:t>7</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"_Toc54202989" </w:instrText>
      </w:r>
      <w:r>
        <w:fldChar w:fldCharType="separate"/>
      </w:r>
      <w:r>
        <w:rPr>
          <w:rStyle w:val="17"/>
          <w:rFonts w:hint="eastAsia" w:eastAsia="仿宋_GB2312"/>
          <w:sz w:val="32"/>
          <w:szCs w:val="32"/>
        </w:rPr>
        <w:t>（二）绩效评价指标设置原则</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_Toc54202989 \h </w:instrText>
      </w:r>
      <w:r>
        <w:rPr>
          <w:rFonts w:hint="eastAsia" w:eastAsia="仿宋_GB2312"/>
          <w:sz w:val="32"/>
          <w:szCs w:val="32"/>
        </w:rPr>
        <w:fldChar w:fldCharType="separate"/>
      </w:r>
      <w:r>
        <w:rPr>
          <w:rFonts w:eastAsia="仿宋_GB2312"/>
          <w:sz w:val="32"/>
          <w:szCs w:val="32"/>
        </w:rPr>
        <w:t>8</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"_Toc54202990" </w:instrText>
      </w:r>
      <w:r>
        <w:fldChar w:fldCharType="separate"/>
      </w:r>
      <w:r>
        <w:rPr>
          <w:rStyle w:val="17"/>
          <w:rFonts w:hint="eastAsia" w:eastAsia="仿宋_GB2312"/>
          <w:sz w:val="32"/>
          <w:szCs w:val="32"/>
        </w:rPr>
        <w:t>（三）评价指标体系</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_Toc54202990 \h </w:instrText>
      </w:r>
      <w:r>
        <w:rPr>
          <w:rFonts w:hint="eastAsia" w:eastAsia="仿宋_GB2312"/>
          <w:sz w:val="32"/>
          <w:szCs w:val="32"/>
        </w:rPr>
        <w:fldChar w:fldCharType="separate"/>
      </w:r>
      <w:r>
        <w:rPr>
          <w:rFonts w:eastAsia="仿宋_GB2312"/>
          <w:sz w:val="32"/>
          <w:szCs w:val="32"/>
        </w:rPr>
        <w:t>8</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"_Toc54202991" </w:instrText>
      </w:r>
      <w:r>
        <w:fldChar w:fldCharType="separate"/>
      </w:r>
      <w:r>
        <w:rPr>
          <w:rStyle w:val="17"/>
          <w:rFonts w:hint="eastAsia" w:eastAsia="仿宋_GB2312"/>
          <w:sz w:val="32"/>
          <w:szCs w:val="32"/>
        </w:rPr>
        <w:t>（四）绩效评价方法</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_Toc54202991 \h </w:instrText>
      </w:r>
      <w:r>
        <w:rPr>
          <w:rFonts w:hint="eastAsia" w:eastAsia="仿宋_GB2312"/>
          <w:sz w:val="32"/>
          <w:szCs w:val="32"/>
        </w:rPr>
        <w:fldChar w:fldCharType="separate"/>
      </w:r>
      <w:r>
        <w:rPr>
          <w:rFonts w:eastAsia="仿宋_GB2312"/>
          <w:sz w:val="32"/>
          <w:szCs w:val="32"/>
        </w:rPr>
        <w:t>9</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"_Toc54202992" </w:instrText>
      </w:r>
      <w:r>
        <w:fldChar w:fldCharType="separate"/>
      </w:r>
      <w:r>
        <w:rPr>
          <w:rStyle w:val="17"/>
          <w:rFonts w:hint="eastAsia" w:eastAsia="仿宋_GB2312"/>
          <w:sz w:val="32"/>
          <w:szCs w:val="32"/>
        </w:rPr>
        <w:t>（五）评价组织实施过程</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_Toc54202992 \h </w:instrText>
      </w:r>
      <w:r>
        <w:rPr>
          <w:rFonts w:hint="eastAsia" w:eastAsia="仿宋_GB2312"/>
          <w:sz w:val="32"/>
          <w:szCs w:val="32"/>
        </w:rPr>
        <w:fldChar w:fldCharType="separate"/>
      </w:r>
      <w:r>
        <w:rPr>
          <w:rFonts w:eastAsia="仿宋_GB2312"/>
          <w:sz w:val="32"/>
          <w:szCs w:val="32"/>
        </w:rPr>
        <w:t>9</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"_Toc54202993" </w:instrText>
      </w:r>
      <w:r>
        <w:fldChar w:fldCharType="separate"/>
      </w:r>
      <w:r>
        <w:rPr>
          <w:rStyle w:val="17"/>
          <w:rFonts w:hint="eastAsia" w:eastAsia="仿宋_GB2312"/>
          <w:sz w:val="32"/>
          <w:szCs w:val="32"/>
        </w:rPr>
        <w:t>三、综合评价情况及评价结论</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_Toc54202993 \h </w:instrText>
      </w:r>
      <w:r>
        <w:rPr>
          <w:rFonts w:hint="eastAsia" w:eastAsia="仿宋_GB2312"/>
          <w:sz w:val="32"/>
          <w:szCs w:val="32"/>
        </w:rPr>
        <w:fldChar w:fldCharType="separate"/>
      </w:r>
      <w:r>
        <w:rPr>
          <w:rFonts w:eastAsia="仿宋_GB2312"/>
          <w:sz w:val="32"/>
          <w:szCs w:val="32"/>
        </w:rPr>
        <w:t>11</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"_Toc54202994" </w:instrText>
      </w:r>
      <w:r>
        <w:fldChar w:fldCharType="separate"/>
      </w:r>
      <w:r>
        <w:rPr>
          <w:rStyle w:val="17"/>
          <w:rFonts w:hint="eastAsia" w:eastAsia="仿宋_GB2312"/>
          <w:sz w:val="32"/>
          <w:szCs w:val="32"/>
        </w:rPr>
        <w:t>四、绩效评价指标分析</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_Toc54202994 \h </w:instrText>
      </w:r>
      <w:r>
        <w:rPr>
          <w:rFonts w:hint="eastAsia" w:eastAsia="仿宋_GB2312"/>
          <w:sz w:val="32"/>
          <w:szCs w:val="32"/>
        </w:rPr>
        <w:fldChar w:fldCharType="separate"/>
      </w:r>
      <w:r>
        <w:rPr>
          <w:rFonts w:eastAsia="仿宋_GB2312"/>
          <w:sz w:val="32"/>
          <w:szCs w:val="32"/>
        </w:rPr>
        <w:t>11</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"_Toc54202995" </w:instrText>
      </w:r>
      <w:r>
        <w:fldChar w:fldCharType="separate"/>
      </w:r>
      <w:r>
        <w:rPr>
          <w:rStyle w:val="17"/>
          <w:rFonts w:hint="eastAsia" w:eastAsia="仿宋_GB2312"/>
          <w:sz w:val="32"/>
          <w:szCs w:val="32"/>
        </w:rPr>
        <w:t>（一）项目决策情况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_Toc54202995 \h </w:instrText>
      </w:r>
      <w:r>
        <w:rPr>
          <w:rFonts w:hint="eastAsia" w:eastAsia="仿宋_GB2312"/>
          <w:sz w:val="32"/>
          <w:szCs w:val="32"/>
        </w:rPr>
        <w:fldChar w:fldCharType="separate"/>
      </w:r>
      <w:r>
        <w:rPr>
          <w:rFonts w:eastAsia="仿宋_GB2312"/>
          <w:sz w:val="32"/>
          <w:szCs w:val="32"/>
        </w:rPr>
        <w:t>12</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"_Toc54202996" </w:instrText>
      </w:r>
      <w:r>
        <w:fldChar w:fldCharType="separate"/>
      </w:r>
      <w:r>
        <w:rPr>
          <w:rStyle w:val="17"/>
          <w:rFonts w:hint="eastAsia" w:eastAsia="仿宋_GB2312"/>
          <w:sz w:val="32"/>
          <w:szCs w:val="32"/>
        </w:rPr>
        <w:t>（二）项目过程情况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_Toc54202996 \h </w:instrText>
      </w:r>
      <w:r>
        <w:rPr>
          <w:rFonts w:hint="eastAsia" w:eastAsia="仿宋_GB2312"/>
          <w:sz w:val="32"/>
          <w:szCs w:val="32"/>
        </w:rPr>
        <w:fldChar w:fldCharType="separate"/>
      </w:r>
      <w:r>
        <w:rPr>
          <w:rFonts w:eastAsia="仿宋_GB2312"/>
          <w:sz w:val="32"/>
          <w:szCs w:val="32"/>
        </w:rPr>
        <w:t>14</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"_Toc54202997" </w:instrText>
      </w:r>
      <w:r>
        <w:fldChar w:fldCharType="separate"/>
      </w:r>
      <w:r>
        <w:rPr>
          <w:rStyle w:val="17"/>
          <w:rFonts w:hint="eastAsia" w:eastAsia="仿宋_GB2312"/>
          <w:sz w:val="32"/>
          <w:szCs w:val="32"/>
        </w:rPr>
        <w:t>（三）项目产出情况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_Toc54202997 \h </w:instrText>
      </w:r>
      <w:r>
        <w:rPr>
          <w:rFonts w:hint="eastAsia" w:eastAsia="仿宋_GB2312"/>
          <w:sz w:val="32"/>
          <w:szCs w:val="32"/>
        </w:rPr>
        <w:fldChar w:fldCharType="separate"/>
      </w:r>
      <w:r>
        <w:rPr>
          <w:rFonts w:eastAsia="仿宋_GB2312"/>
          <w:sz w:val="32"/>
          <w:szCs w:val="32"/>
        </w:rPr>
        <w:t>16</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"_Toc54202998" </w:instrText>
      </w:r>
      <w:r>
        <w:fldChar w:fldCharType="separate"/>
      </w:r>
      <w:r>
        <w:rPr>
          <w:rStyle w:val="17"/>
          <w:rFonts w:hint="eastAsia" w:eastAsia="仿宋_GB2312"/>
          <w:sz w:val="32"/>
          <w:szCs w:val="32"/>
        </w:rPr>
        <w:t>（四）项目绩效情况</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_Toc54202998 \h </w:instrText>
      </w:r>
      <w:r>
        <w:rPr>
          <w:rFonts w:hint="eastAsia" w:eastAsia="仿宋_GB2312"/>
          <w:sz w:val="32"/>
          <w:szCs w:val="32"/>
        </w:rPr>
        <w:fldChar w:fldCharType="separate"/>
      </w:r>
      <w:r>
        <w:rPr>
          <w:rFonts w:eastAsia="仿宋_GB2312"/>
          <w:sz w:val="32"/>
          <w:szCs w:val="32"/>
        </w:rPr>
        <w:t>20</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"_Toc54202999" </w:instrText>
      </w:r>
      <w:r>
        <w:fldChar w:fldCharType="separate"/>
      </w:r>
      <w:r>
        <w:rPr>
          <w:rStyle w:val="17"/>
          <w:rFonts w:hint="eastAsia" w:eastAsia="仿宋_GB2312"/>
          <w:sz w:val="32"/>
          <w:szCs w:val="32"/>
        </w:rPr>
        <w:t>五、主要经验及做法</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_Toc54202999 \h </w:instrText>
      </w:r>
      <w:r>
        <w:rPr>
          <w:rFonts w:hint="eastAsia" w:eastAsia="仿宋_GB2312"/>
          <w:sz w:val="32"/>
          <w:szCs w:val="32"/>
        </w:rPr>
        <w:fldChar w:fldCharType="separate"/>
      </w:r>
      <w:r>
        <w:rPr>
          <w:rFonts w:eastAsia="仿宋_GB2312"/>
          <w:sz w:val="32"/>
          <w:szCs w:val="32"/>
        </w:rPr>
        <w:t>21</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"_Toc54203000" </w:instrText>
      </w:r>
      <w:r>
        <w:fldChar w:fldCharType="separate"/>
      </w:r>
      <w:r>
        <w:rPr>
          <w:rStyle w:val="17"/>
          <w:rFonts w:hint="eastAsia" w:eastAsia="仿宋_GB2312"/>
          <w:sz w:val="32"/>
          <w:szCs w:val="32"/>
        </w:rPr>
        <w:t>（一）建立重污染应急应对工作模式</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_Toc54203000 \h </w:instrText>
      </w:r>
      <w:r>
        <w:rPr>
          <w:rFonts w:hint="eastAsia" w:eastAsia="仿宋_GB2312"/>
          <w:sz w:val="32"/>
          <w:szCs w:val="32"/>
        </w:rPr>
        <w:fldChar w:fldCharType="separate"/>
      </w:r>
      <w:r>
        <w:rPr>
          <w:rFonts w:eastAsia="仿宋_GB2312"/>
          <w:sz w:val="32"/>
          <w:szCs w:val="32"/>
        </w:rPr>
        <w:t>21</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"_Toc54203001" </w:instrText>
      </w:r>
      <w:r>
        <w:fldChar w:fldCharType="separate"/>
      </w:r>
      <w:r>
        <w:rPr>
          <w:rStyle w:val="17"/>
          <w:rFonts w:hint="eastAsia" w:eastAsia="仿宋_GB2312"/>
          <w:sz w:val="32"/>
          <w:szCs w:val="32"/>
        </w:rPr>
        <w:t>（二）建立专家联合会商机制</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_Toc54203001 \h </w:instrText>
      </w:r>
      <w:r>
        <w:rPr>
          <w:rFonts w:hint="eastAsia" w:eastAsia="仿宋_GB2312"/>
          <w:sz w:val="32"/>
          <w:szCs w:val="32"/>
        </w:rPr>
        <w:fldChar w:fldCharType="separate"/>
      </w:r>
      <w:r>
        <w:rPr>
          <w:rFonts w:eastAsia="仿宋_GB2312"/>
          <w:sz w:val="32"/>
          <w:szCs w:val="32"/>
        </w:rPr>
        <w:t>22</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"_Toc54203002" </w:instrText>
      </w:r>
      <w:r>
        <w:fldChar w:fldCharType="separate"/>
      </w:r>
      <w:r>
        <w:rPr>
          <w:rStyle w:val="17"/>
          <w:rFonts w:hint="eastAsia" w:eastAsia="仿宋_GB2312"/>
          <w:sz w:val="32"/>
          <w:szCs w:val="32"/>
        </w:rPr>
        <w:t>（三）带动地方科技人员成长</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_Toc54203002 \h </w:instrText>
      </w:r>
      <w:r>
        <w:rPr>
          <w:rFonts w:hint="eastAsia" w:eastAsia="仿宋_GB2312"/>
          <w:sz w:val="32"/>
          <w:szCs w:val="32"/>
        </w:rPr>
        <w:fldChar w:fldCharType="separate"/>
      </w:r>
      <w:r>
        <w:rPr>
          <w:rFonts w:eastAsia="仿宋_GB2312"/>
          <w:sz w:val="32"/>
          <w:szCs w:val="32"/>
        </w:rPr>
        <w:t>22</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"_Toc54203003" </w:instrText>
      </w:r>
      <w:r>
        <w:fldChar w:fldCharType="separate"/>
      </w:r>
      <w:r>
        <w:rPr>
          <w:rStyle w:val="17"/>
          <w:rFonts w:hint="eastAsia" w:eastAsia="仿宋_GB2312"/>
          <w:sz w:val="32"/>
          <w:szCs w:val="32"/>
        </w:rPr>
        <w:t>六、存在的问题及原因分析</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_Toc54203003 \h </w:instrText>
      </w:r>
      <w:r>
        <w:rPr>
          <w:rFonts w:hint="eastAsia" w:eastAsia="仿宋_GB2312"/>
          <w:sz w:val="32"/>
          <w:szCs w:val="32"/>
        </w:rPr>
        <w:fldChar w:fldCharType="separate"/>
      </w:r>
      <w:r>
        <w:rPr>
          <w:rFonts w:eastAsia="仿宋_GB2312"/>
          <w:sz w:val="32"/>
          <w:szCs w:val="32"/>
        </w:rPr>
        <w:t>22</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"_Toc54203006" </w:instrText>
      </w:r>
      <w:r>
        <w:fldChar w:fldCharType="separate"/>
      </w:r>
      <w:r>
        <w:rPr>
          <w:rStyle w:val="17"/>
          <w:rFonts w:hint="eastAsia" w:eastAsia="仿宋_GB2312"/>
          <w:sz w:val="32"/>
          <w:szCs w:val="32"/>
        </w:rPr>
        <w:t>（一）业务管理水平有待提升</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_Toc54203006 \h </w:instrText>
      </w:r>
      <w:r>
        <w:rPr>
          <w:rFonts w:hint="eastAsia" w:eastAsia="仿宋_GB2312"/>
          <w:sz w:val="32"/>
          <w:szCs w:val="32"/>
        </w:rPr>
        <w:fldChar w:fldCharType="separate"/>
      </w:r>
      <w:r>
        <w:rPr>
          <w:rFonts w:eastAsia="仿宋_GB2312"/>
          <w:sz w:val="32"/>
          <w:szCs w:val="32"/>
        </w:rPr>
        <w:t>22</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sz w:val="32"/>
          <w:szCs w:val="32"/>
        </w:rPr>
      </w:pPr>
      <w:r>
        <w:fldChar w:fldCharType="begin"/>
      </w:r>
      <w:r>
        <w:instrText xml:space="preserve"> HYPERLINK \l "_Toc54203007" </w:instrText>
      </w:r>
      <w:r>
        <w:fldChar w:fldCharType="separate"/>
      </w:r>
      <w:r>
        <w:rPr>
          <w:rStyle w:val="17"/>
          <w:rFonts w:hint="eastAsia" w:eastAsia="仿宋_GB2312"/>
          <w:sz w:val="32"/>
          <w:szCs w:val="32"/>
        </w:rPr>
        <w:t>（二）研究成果应用不及时</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_Toc54203007 \h </w:instrText>
      </w:r>
      <w:r>
        <w:rPr>
          <w:rFonts w:hint="eastAsia" w:eastAsia="仿宋_GB2312"/>
          <w:sz w:val="32"/>
          <w:szCs w:val="32"/>
        </w:rPr>
        <w:fldChar w:fldCharType="separate"/>
      </w:r>
      <w:r>
        <w:rPr>
          <w:rFonts w:eastAsia="仿宋_GB2312"/>
          <w:sz w:val="32"/>
          <w:szCs w:val="32"/>
        </w:rPr>
        <w:t>23</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"_Toc54203004" </w:instrText>
      </w:r>
      <w:r>
        <w:fldChar w:fldCharType="separate"/>
      </w:r>
      <w:r>
        <w:rPr>
          <w:rStyle w:val="17"/>
          <w:rFonts w:hint="eastAsia" w:eastAsia="仿宋_GB2312"/>
          <w:sz w:val="32"/>
          <w:szCs w:val="32"/>
        </w:rPr>
        <w:t>（三）项目资金预算及资金支付与项目实际不匹配</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_Toc54203004 \h </w:instrText>
      </w:r>
      <w:r>
        <w:rPr>
          <w:rFonts w:hint="eastAsia" w:eastAsia="仿宋_GB2312"/>
          <w:sz w:val="32"/>
          <w:szCs w:val="32"/>
        </w:rPr>
        <w:fldChar w:fldCharType="separate"/>
      </w:r>
      <w:r>
        <w:rPr>
          <w:rFonts w:eastAsia="仿宋_GB2312"/>
          <w:sz w:val="32"/>
          <w:szCs w:val="32"/>
        </w:rPr>
        <w:t>23</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"_Toc54203008" </w:instrText>
      </w:r>
      <w:r>
        <w:fldChar w:fldCharType="separate"/>
      </w:r>
      <w:r>
        <w:rPr>
          <w:rStyle w:val="17"/>
          <w:rFonts w:hint="eastAsia" w:eastAsia="仿宋_GB2312"/>
          <w:sz w:val="32"/>
          <w:szCs w:val="32"/>
        </w:rPr>
        <w:t>（四）绩效管理规范性不足</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_Toc54203008 \h </w:instrText>
      </w:r>
      <w:r>
        <w:rPr>
          <w:rFonts w:hint="eastAsia" w:eastAsia="仿宋_GB2312"/>
          <w:sz w:val="32"/>
          <w:szCs w:val="32"/>
        </w:rPr>
        <w:fldChar w:fldCharType="separate"/>
      </w:r>
      <w:r>
        <w:rPr>
          <w:rFonts w:eastAsia="仿宋_GB2312"/>
          <w:sz w:val="32"/>
          <w:szCs w:val="32"/>
        </w:rPr>
        <w:t>24</w:t>
      </w:r>
      <w:r>
        <w:rPr>
          <w:rFonts w:hint="eastAsia" w:eastAsia="仿宋_GB2312"/>
          <w:sz w:val="32"/>
          <w:szCs w:val="32"/>
        </w:rPr>
        <w:fldChar w:fldCharType="end"/>
      </w:r>
      <w:r>
        <w:rPr>
          <w:rFonts w:hint="eastAsia" w:eastAsia="仿宋_GB2312"/>
          <w:sz w:val="32"/>
          <w:szCs w:val="32"/>
        </w:rPr>
        <w:fldChar w:fldCharType="end"/>
      </w:r>
    </w:p>
    <w:p>
      <w:pPr>
        <w:pStyle w:val="10"/>
        <w:tabs>
          <w:tab w:val="right" w:leader="dot" w:pos="8834"/>
        </w:tabs>
        <w:spacing w:line="560" w:lineRule="exact"/>
        <w:rPr>
          <w:rFonts w:eastAsia="仿宋_GB2312" w:cstheme="minorBidi"/>
          <w:sz w:val="32"/>
          <w:szCs w:val="32"/>
        </w:rPr>
      </w:pPr>
      <w:r>
        <w:fldChar w:fldCharType="begin"/>
      </w:r>
      <w:r>
        <w:instrText xml:space="preserve"> HYPERLINK \l "_Toc54203012" </w:instrText>
      </w:r>
      <w:r>
        <w:fldChar w:fldCharType="separate"/>
      </w:r>
      <w:r>
        <w:rPr>
          <w:rStyle w:val="17"/>
          <w:rFonts w:hint="eastAsia" w:eastAsia="仿宋_GB2312"/>
          <w:sz w:val="32"/>
          <w:szCs w:val="32"/>
        </w:rPr>
        <w:t>七、有关建议</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_Toc54203012 \h </w:instrText>
      </w:r>
      <w:r>
        <w:rPr>
          <w:rFonts w:hint="eastAsia" w:eastAsia="仿宋_GB2312"/>
          <w:sz w:val="32"/>
          <w:szCs w:val="32"/>
        </w:rPr>
        <w:fldChar w:fldCharType="separate"/>
      </w:r>
      <w:r>
        <w:rPr>
          <w:rFonts w:eastAsia="仿宋_GB2312"/>
          <w:sz w:val="32"/>
          <w:szCs w:val="32"/>
        </w:rPr>
        <w:t>24</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"_Toc54203014" </w:instrText>
      </w:r>
      <w:r>
        <w:fldChar w:fldCharType="separate"/>
      </w:r>
      <w:r>
        <w:rPr>
          <w:rStyle w:val="17"/>
          <w:rFonts w:hint="eastAsia" w:eastAsia="仿宋_GB2312"/>
          <w:sz w:val="32"/>
          <w:szCs w:val="32"/>
        </w:rPr>
        <w:t>（一）完善部门内部控制体系</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_Toc54203014 \h </w:instrText>
      </w:r>
      <w:r>
        <w:rPr>
          <w:rFonts w:hint="eastAsia" w:eastAsia="仿宋_GB2312"/>
          <w:sz w:val="32"/>
          <w:szCs w:val="32"/>
        </w:rPr>
        <w:fldChar w:fldCharType="separate"/>
      </w:r>
      <w:r>
        <w:rPr>
          <w:rFonts w:eastAsia="仿宋_GB2312"/>
          <w:sz w:val="32"/>
          <w:szCs w:val="32"/>
        </w:rPr>
        <w:t>24</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sz w:val="32"/>
          <w:szCs w:val="32"/>
        </w:rPr>
      </w:pPr>
      <w:r>
        <w:fldChar w:fldCharType="begin"/>
      </w:r>
      <w:r>
        <w:instrText xml:space="preserve"> HYPERLINK \l "_Toc54203015" </w:instrText>
      </w:r>
      <w:r>
        <w:fldChar w:fldCharType="separate"/>
      </w:r>
      <w:r>
        <w:rPr>
          <w:rStyle w:val="17"/>
          <w:rFonts w:hint="eastAsia" w:eastAsia="仿宋_GB2312"/>
          <w:sz w:val="32"/>
          <w:szCs w:val="32"/>
        </w:rPr>
        <w:t>（二）建立健全大气污染防治工作联动机制</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_Toc54203015 \h </w:instrText>
      </w:r>
      <w:r>
        <w:rPr>
          <w:rFonts w:hint="eastAsia" w:eastAsia="仿宋_GB2312"/>
          <w:sz w:val="32"/>
          <w:szCs w:val="32"/>
        </w:rPr>
        <w:fldChar w:fldCharType="separate"/>
      </w:r>
      <w:r>
        <w:rPr>
          <w:rFonts w:eastAsia="仿宋_GB2312"/>
          <w:sz w:val="32"/>
          <w:szCs w:val="32"/>
        </w:rPr>
        <w:t>25</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"_Toc54203013" </w:instrText>
      </w:r>
      <w:r>
        <w:fldChar w:fldCharType="separate"/>
      </w:r>
      <w:r>
        <w:rPr>
          <w:rStyle w:val="17"/>
          <w:rFonts w:hint="eastAsia" w:eastAsia="仿宋_GB2312"/>
          <w:sz w:val="32"/>
          <w:szCs w:val="32"/>
        </w:rPr>
        <w:t>（三）合理化预算编制</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_Toc54203013 \h </w:instrText>
      </w:r>
      <w:r>
        <w:rPr>
          <w:rFonts w:hint="eastAsia" w:eastAsia="仿宋_GB2312"/>
          <w:sz w:val="32"/>
          <w:szCs w:val="32"/>
        </w:rPr>
        <w:fldChar w:fldCharType="separate"/>
      </w:r>
      <w:r>
        <w:rPr>
          <w:rFonts w:eastAsia="仿宋_GB2312"/>
          <w:sz w:val="32"/>
          <w:szCs w:val="32"/>
        </w:rPr>
        <w:t>25</w:t>
      </w:r>
      <w:r>
        <w:rPr>
          <w:rFonts w:hint="eastAsia" w:eastAsia="仿宋_GB2312"/>
          <w:sz w:val="32"/>
          <w:szCs w:val="32"/>
        </w:rPr>
        <w:fldChar w:fldCharType="end"/>
      </w:r>
      <w:r>
        <w:rPr>
          <w:rFonts w:hint="eastAsia" w:eastAsia="仿宋_GB2312"/>
          <w:sz w:val="32"/>
          <w:szCs w:val="32"/>
        </w:rPr>
        <w:fldChar w:fldCharType="end"/>
      </w:r>
    </w:p>
    <w:p>
      <w:pPr>
        <w:pStyle w:val="11"/>
        <w:tabs>
          <w:tab w:val="right" w:leader="dot" w:pos="8834"/>
        </w:tabs>
        <w:spacing w:line="560" w:lineRule="exact"/>
        <w:rPr>
          <w:rFonts w:eastAsia="仿宋_GB2312" w:cstheme="minorBidi"/>
          <w:sz w:val="32"/>
          <w:szCs w:val="32"/>
        </w:rPr>
      </w:pPr>
      <w:r>
        <w:fldChar w:fldCharType="begin"/>
      </w:r>
      <w:r>
        <w:instrText xml:space="preserve"> HYPERLINK \l "_Toc54203016" </w:instrText>
      </w:r>
      <w:r>
        <w:fldChar w:fldCharType="separate"/>
      </w:r>
      <w:r>
        <w:rPr>
          <w:rStyle w:val="17"/>
          <w:rFonts w:hint="eastAsia" w:eastAsia="仿宋_GB2312"/>
          <w:sz w:val="32"/>
          <w:szCs w:val="32"/>
        </w:rPr>
        <w:t>（四）提高预算绩效管理意识</w:t>
      </w:r>
      <w:r>
        <w:rPr>
          <w:rFonts w:hint="eastAsia" w:eastAsia="仿宋_GB2312"/>
          <w:sz w:val="32"/>
          <w:szCs w:val="32"/>
        </w:rPr>
        <w:tab/>
      </w:r>
      <w:r>
        <w:rPr>
          <w:rFonts w:hint="eastAsia" w:eastAsia="仿宋_GB2312"/>
          <w:sz w:val="32"/>
          <w:szCs w:val="32"/>
        </w:rPr>
        <w:fldChar w:fldCharType="begin"/>
      </w:r>
      <w:r>
        <w:rPr>
          <w:rFonts w:hint="eastAsia" w:eastAsia="仿宋_GB2312"/>
          <w:sz w:val="32"/>
          <w:szCs w:val="32"/>
        </w:rPr>
        <w:instrText xml:space="preserve"> PAGEREF _Toc54203016 \h </w:instrText>
      </w:r>
      <w:r>
        <w:rPr>
          <w:rFonts w:hint="eastAsia" w:eastAsia="仿宋_GB2312"/>
          <w:sz w:val="32"/>
          <w:szCs w:val="32"/>
        </w:rPr>
        <w:fldChar w:fldCharType="separate"/>
      </w:r>
      <w:r>
        <w:rPr>
          <w:rFonts w:eastAsia="仿宋_GB2312"/>
          <w:sz w:val="32"/>
          <w:szCs w:val="32"/>
        </w:rPr>
        <w:t>25</w:t>
      </w:r>
      <w:r>
        <w:rPr>
          <w:rFonts w:hint="eastAsia" w:eastAsia="仿宋_GB2312"/>
          <w:sz w:val="32"/>
          <w:szCs w:val="32"/>
        </w:rPr>
        <w:fldChar w:fldCharType="end"/>
      </w:r>
      <w:r>
        <w:rPr>
          <w:rFonts w:hint="eastAsia" w:eastAsia="仿宋_GB2312"/>
          <w:sz w:val="32"/>
          <w:szCs w:val="32"/>
        </w:rPr>
        <w:fldChar w:fldCharType="end"/>
      </w:r>
    </w:p>
    <w:p>
      <w:pPr>
        <w:widowControl/>
        <w:jc w:val="center"/>
        <w:rPr>
          <w:rFonts w:eastAsia="仿宋_GB2312"/>
          <w:sz w:val="32"/>
          <w:szCs w:val="32"/>
        </w:rPr>
        <w:sectPr>
          <w:footerReference r:id="rId3" w:type="default"/>
          <w:footerReference r:id="rId4" w:type="even"/>
          <w:pgSz w:w="11906" w:h="16838"/>
          <w:pgMar w:top="2098" w:right="1474" w:bottom="1702" w:left="1588" w:header="851" w:footer="1134" w:gutter="0"/>
          <w:pgNumType w:start="1"/>
          <w:cols w:space="425" w:num="1"/>
          <w:docGrid w:type="lines" w:linePitch="312" w:charSpace="0"/>
        </w:sectPr>
      </w:pPr>
      <w:r>
        <w:rPr>
          <w:rFonts w:hint="eastAsia" w:eastAsia="仿宋_GB2312"/>
          <w:sz w:val="32"/>
          <w:szCs w:val="32"/>
        </w:rPr>
        <w:fldChar w:fldCharType="end"/>
      </w:r>
    </w:p>
    <w:p>
      <w:pPr>
        <w:widowControl/>
        <w:spacing w:line="600" w:lineRule="exact"/>
        <w:jc w:val="center"/>
        <w:outlineLvl w:val="0"/>
        <w:rPr>
          <w:rFonts w:eastAsia="方正小标宋简体"/>
          <w:sz w:val="44"/>
          <w:szCs w:val="44"/>
        </w:rPr>
      </w:pPr>
      <w:bookmarkStart w:id="6" w:name="_Toc44341970"/>
      <w:bookmarkStart w:id="7" w:name="_Toc54202974"/>
      <w:bookmarkStart w:id="8" w:name="_Toc45116291"/>
      <w:bookmarkStart w:id="9" w:name="_Toc46324409"/>
      <w:bookmarkStart w:id="10" w:name="_Toc44509504"/>
      <w:bookmarkStart w:id="11" w:name="_Toc46307324"/>
      <w:r>
        <w:rPr>
          <w:rFonts w:eastAsia="方正小标宋简体"/>
          <w:sz w:val="44"/>
          <w:szCs w:val="44"/>
        </w:rPr>
        <w:t>摘</w:t>
      </w:r>
      <w:r>
        <w:rPr>
          <w:rFonts w:hint="eastAsia" w:eastAsia="方正小标宋简体"/>
          <w:sz w:val="44"/>
          <w:szCs w:val="44"/>
        </w:rPr>
        <w:t xml:space="preserve">  </w:t>
      </w:r>
      <w:r>
        <w:rPr>
          <w:rFonts w:eastAsia="方正小标宋简体"/>
          <w:sz w:val="44"/>
          <w:szCs w:val="44"/>
        </w:rPr>
        <w:t>要</w:t>
      </w:r>
      <w:bookmarkEnd w:id="6"/>
      <w:bookmarkEnd w:id="7"/>
      <w:bookmarkEnd w:id="8"/>
      <w:bookmarkEnd w:id="9"/>
      <w:bookmarkEnd w:id="10"/>
      <w:bookmarkEnd w:id="11"/>
    </w:p>
    <w:p>
      <w:pPr>
        <w:pStyle w:val="12"/>
        <w:spacing w:line="600" w:lineRule="exact"/>
        <w:ind w:firstLine="640"/>
        <w:rPr>
          <w:rFonts w:ascii="Times New Roman" w:hAnsi="Times New Roman"/>
        </w:rPr>
      </w:pPr>
      <w:bookmarkStart w:id="12" w:name="_Toc53761912"/>
      <w:bookmarkStart w:id="13" w:name="_Toc53233030"/>
      <w:bookmarkStart w:id="14" w:name="_Toc53381083"/>
      <w:bookmarkStart w:id="15" w:name="_Toc54202975"/>
      <w:bookmarkStart w:id="16" w:name="_Toc53761845"/>
    </w:p>
    <w:p>
      <w:pPr>
        <w:pStyle w:val="12"/>
        <w:spacing w:line="600" w:lineRule="exact"/>
        <w:ind w:firstLine="640"/>
        <w:rPr>
          <w:rFonts w:ascii="Times New Roman" w:hAnsi="Times New Roman"/>
        </w:rPr>
      </w:pPr>
      <w:r>
        <w:rPr>
          <w:rFonts w:ascii="Times New Roman" w:hAnsi="Times New Roman"/>
        </w:rPr>
        <w:t>一、项目背景</w:t>
      </w:r>
      <w:bookmarkEnd w:id="12"/>
      <w:bookmarkEnd w:id="13"/>
      <w:bookmarkEnd w:id="14"/>
      <w:bookmarkEnd w:id="15"/>
      <w:bookmarkEnd w:id="16"/>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为全面贯彻落实“十九大”报告提出的“打赢蓝天保卫战”的要求，进一步推进大气重污染成因与治理攻关工作，2018年7月9日生态环境部下发《关于在汾渭平原开展大气污染防治“一市一策”驻点跟踪研究工作的通知》（环科技函〔2018〕71号），决定在汾渭平原11个城市推广应用“一市一策”驻点跟踪研究工作机制。</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2018年9月22日，陕西省政府发布了《陕西省铁腕治霾打赢蓝天保卫战三年行动方案（2018-2020年）》（陕政发〔2018〕16号），对铜川市大气污染防治提出明确要求。</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铜川市根据《关于在汾渭平原开展大气污染防治“一市一策”驻点跟踪研究工作的通知》、《陕西省铁腕治霾打赢蓝天保卫战三年行动方案（2018-2020年）》文件精神，结合当地实际情况，编制了《铜川市大气污染防治“一市一策”跟踪研究项目实施方案》。</w:t>
      </w:r>
    </w:p>
    <w:p>
      <w:pPr>
        <w:pStyle w:val="12"/>
        <w:spacing w:line="600" w:lineRule="exact"/>
        <w:ind w:firstLine="640"/>
        <w:rPr>
          <w:rFonts w:ascii="黑体" w:hAnsi="黑体"/>
        </w:rPr>
      </w:pPr>
      <w:bookmarkStart w:id="17" w:name="_Toc53761846"/>
      <w:bookmarkStart w:id="18" w:name="_Toc53761913"/>
      <w:bookmarkStart w:id="19" w:name="_Toc53233031"/>
      <w:bookmarkStart w:id="20" w:name="_Toc53381084"/>
      <w:bookmarkStart w:id="21" w:name="_Toc54202976"/>
      <w:r>
        <w:rPr>
          <w:rFonts w:hint="eastAsia" w:ascii="黑体" w:hAnsi="黑体"/>
        </w:rPr>
        <w:t>二、项目实施情况</w:t>
      </w:r>
      <w:bookmarkEnd w:id="17"/>
      <w:bookmarkEnd w:id="18"/>
      <w:bookmarkEnd w:id="19"/>
      <w:bookmarkEnd w:id="20"/>
      <w:bookmarkEnd w:id="21"/>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为落实《关于在汾渭平原开展大气污染防治“一市一策”驻点跟踪研究工作的通知》的文件工作任务和陕西省对铜川市大气污染防治的要求，根据《铜川市大气污染防治“一市一策”跟踪研究项目实施方案》规划内容，提出了铜川市大气污染防治“一市一策”跟踪研究项目（2018-2020年）。2018年10月17日，在铜川市秋冬季大气污染防治攻坚行动动员会暨“一市一策”驻点跟踪研究启动会上，铜川市政府与中国科学院地球环境研究所签订“一市一策”战略合作框架协议。</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2019年5月，铜川市生态环境局根据本项目任务书，与项目工作负责单位—中国科学院地球环境研究所签订了《铜川市大气污染防治“一市一策”驻点跟踪研究项目合同书（2018年-2020年）》，合同约定项目执行期为30个月（2018年7月-2021年4月），合同服务范围包括开展铜川市细颗粒物精细化来源解析、编制高分辨率大气污染源排放清单、开展铜川市重污染天气联合应对、提出铜川市“一市一策”综合解决方案、制定铜川市空气质量改善路线图等具体内容。</w:t>
      </w:r>
    </w:p>
    <w:p>
      <w:pPr>
        <w:pStyle w:val="12"/>
        <w:spacing w:line="600" w:lineRule="exact"/>
        <w:ind w:firstLine="640"/>
        <w:rPr>
          <w:rFonts w:ascii="黑体" w:hAnsi="黑体"/>
        </w:rPr>
      </w:pPr>
      <w:bookmarkStart w:id="22" w:name="_Toc53381085"/>
      <w:bookmarkStart w:id="23" w:name="_Toc53233032"/>
      <w:bookmarkStart w:id="24" w:name="_Toc53761914"/>
      <w:bookmarkStart w:id="25" w:name="_Toc54202977"/>
      <w:bookmarkStart w:id="26" w:name="_Toc53761847"/>
      <w:r>
        <w:rPr>
          <w:rFonts w:hint="eastAsia" w:ascii="黑体" w:hAnsi="黑体"/>
        </w:rPr>
        <w:t>三、综合评价</w:t>
      </w:r>
      <w:bookmarkEnd w:id="22"/>
      <w:bookmarkEnd w:id="23"/>
      <w:r>
        <w:rPr>
          <w:rFonts w:hint="eastAsia" w:ascii="黑体" w:hAnsi="黑体"/>
        </w:rPr>
        <w:t>结论</w:t>
      </w:r>
      <w:bookmarkEnd w:id="24"/>
      <w:bookmarkEnd w:id="25"/>
      <w:bookmarkEnd w:id="26"/>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2019年度汾渭平原铜川市大气污染防治“一市一策”跟踪研究项目组按照项目实施方案中制定的各项课题时间进度安排表进行成果产出。主要成果包括：铜川市2018-2019年秋冬季节PM2.5精细化源解析报告、铜川市2019年高分辨率大气污染源排放清单等8项研究成果，开展相关培训5次，覆盖全市所有区县，指导267家企业建立重污染天气应急预案，建立了重污染应急应对工作模式、专家联合会商机制，当年绩效目标已全部完成。</w:t>
      </w:r>
    </w:p>
    <w:p>
      <w:pPr>
        <w:spacing w:line="600" w:lineRule="exact"/>
        <w:ind w:firstLine="640" w:firstLineChars="200"/>
        <w:rPr>
          <w:rFonts w:ascii="仿宋_GB2312" w:eastAsia="仿宋_GB2312"/>
        </w:rPr>
      </w:pPr>
      <w:r>
        <w:rPr>
          <w:rFonts w:hint="eastAsia" w:ascii="仿宋_GB2312" w:eastAsia="仿宋_GB2312"/>
          <w:bCs/>
          <w:sz w:val="32"/>
          <w:szCs w:val="32"/>
        </w:rPr>
        <w:t>绩效评价组按照</w:t>
      </w:r>
      <w:r>
        <w:rPr>
          <w:rFonts w:hint="eastAsia" w:ascii="仿宋_GB2312" w:eastAsia="仿宋_GB2312"/>
          <w:sz w:val="32"/>
          <w:szCs w:val="32"/>
        </w:rPr>
        <w:t>铜川市财政局关于转发《陕西省财政项目支出绩效评价管理办法》的通知（铜财预〔2020〕34号），根据项目实际情况，从决策、过程、产出、效益四个方面</w:t>
      </w:r>
      <w:r>
        <w:rPr>
          <w:rFonts w:hint="eastAsia" w:ascii="仿宋_GB2312" w:eastAsia="仿宋_GB2312"/>
          <w:bCs/>
          <w:sz w:val="32"/>
          <w:szCs w:val="32"/>
        </w:rPr>
        <w:t>对本项目绩效开展了绩效评价工作。</w:t>
      </w:r>
      <w:r>
        <w:rPr>
          <w:rFonts w:hint="eastAsia" w:ascii="仿宋_GB2312" w:eastAsia="仿宋_GB2312"/>
          <w:sz w:val="32"/>
          <w:szCs w:val="32"/>
        </w:rPr>
        <w:t>综合项目整体执行情况，项目</w:t>
      </w:r>
      <w:r>
        <w:rPr>
          <w:rFonts w:hint="eastAsia" w:ascii="仿宋_GB2312" w:eastAsia="仿宋_GB2312"/>
          <w:bCs/>
          <w:sz w:val="32"/>
          <w:szCs w:val="32"/>
        </w:rPr>
        <w:t>本次评价得分为“</w:t>
      </w:r>
      <w:r>
        <w:rPr>
          <w:rFonts w:hint="eastAsia" w:ascii="仿宋_GB2312" w:eastAsia="仿宋_GB2312"/>
          <w:b/>
          <w:bCs/>
          <w:sz w:val="32"/>
          <w:szCs w:val="32"/>
        </w:rPr>
        <w:t>88.16</w:t>
      </w:r>
      <w:r>
        <w:rPr>
          <w:rFonts w:hint="eastAsia" w:ascii="仿宋_GB2312" w:eastAsia="仿宋_GB2312"/>
          <w:bCs/>
          <w:sz w:val="32"/>
          <w:szCs w:val="32"/>
        </w:rPr>
        <w:t>”分，绩效评价结果为“</w:t>
      </w:r>
      <w:r>
        <w:rPr>
          <w:rFonts w:hint="eastAsia" w:ascii="仿宋_GB2312" w:eastAsia="仿宋_GB2312"/>
          <w:b/>
          <w:bCs/>
          <w:sz w:val="32"/>
          <w:szCs w:val="32"/>
        </w:rPr>
        <w:t>良</w:t>
      </w:r>
      <w:r>
        <w:rPr>
          <w:rFonts w:hint="eastAsia" w:ascii="仿宋_GB2312" w:eastAsia="仿宋_GB2312"/>
          <w:bCs/>
          <w:sz w:val="32"/>
          <w:szCs w:val="32"/>
        </w:rPr>
        <w:t>”。</w:t>
      </w:r>
    </w:p>
    <w:p>
      <w:pPr>
        <w:widowControl/>
        <w:spacing w:line="560" w:lineRule="exact"/>
        <w:jc w:val="left"/>
        <w:rPr>
          <w:rFonts w:eastAsia="方正小标宋_GBK"/>
          <w:sz w:val="44"/>
          <w:szCs w:val="44"/>
        </w:rPr>
        <w:sectPr>
          <w:footerReference r:id="rId5" w:type="default"/>
          <w:pgSz w:w="11906" w:h="16838"/>
          <w:pgMar w:top="2098" w:right="1474" w:bottom="1985" w:left="1588" w:header="851" w:footer="1134" w:gutter="0"/>
          <w:pgNumType w:start="1"/>
          <w:cols w:space="425" w:num="1"/>
          <w:docGrid w:type="lines" w:linePitch="312" w:charSpace="0"/>
        </w:sectPr>
      </w:pPr>
      <w:bookmarkStart w:id="27" w:name="_Toc44509519"/>
      <w:bookmarkStart w:id="28" w:name="_Toc46324419"/>
      <w:bookmarkStart w:id="29" w:name="_Toc45116306"/>
      <w:r>
        <w:rPr>
          <w:rFonts w:eastAsia="方正小标宋_GBK"/>
          <w:sz w:val="44"/>
          <w:szCs w:val="44"/>
        </w:rPr>
        <w:br w:type="page"/>
      </w:r>
    </w:p>
    <w:bookmarkEnd w:id="27"/>
    <w:bookmarkEnd w:id="28"/>
    <w:bookmarkEnd w:id="29"/>
    <w:p>
      <w:pPr>
        <w:widowControl/>
        <w:spacing w:line="660" w:lineRule="exact"/>
        <w:jc w:val="center"/>
        <w:rPr>
          <w:rFonts w:ascii="方正小标宋简体" w:eastAsia="方正小标宋简体"/>
          <w:sz w:val="44"/>
          <w:szCs w:val="44"/>
        </w:rPr>
      </w:pPr>
      <w:r>
        <w:rPr>
          <w:rFonts w:hint="eastAsia" w:ascii="方正小标宋简体" w:eastAsia="方正小标宋简体"/>
          <w:sz w:val="44"/>
          <w:szCs w:val="44"/>
        </w:rPr>
        <w:t>2019年度汾渭平原铜川市大气污染防治</w:t>
      </w:r>
    </w:p>
    <w:p>
      <w:pPr>
        <w:widowControl/>
        <w:spacing w:line="660" w:lineRule="exact"/>
        <w:jc w:val="center"/>
        <w:rPr>
          <w:rFonts w:ascii="方正小标宋简体" w:eastAsia="方正小标宋简体"/>
          <w:sz w:val="44"/>
          <w:szCs w:val="44"/>
        </w:rPr>
      </w:pPr>
      <w:r>
        <w:rPr>
          <w:rFonts w:hint="eastAsia" w:ascii="方正小标宋简体" w:eastAsia="方正小标宋简体"/>
          <w:sz w:val="44"/>
          <w:szCs w:val="44"/>
        </w:rPr>
        <w:t>“一市一策”跟踪研究项目支出</w:t>
      </w:r>
    </w:p>
    <w:p>
      <w:pPr>
        <w:widowControl/>
        <w:spacing w:line="660" w:lineRule="exact"/>
        <w:jc w:val="center"/>
        <w:rPr>
          <w:rFonts w:ascii="方正小标宋简体" w:eastAsia="方正小标宋简体"/>
          <w:sz w:val="44"/>
          <w:szCs w:val="44"/>
        </w:rPr>
      </w:pPr>
      <w:r>
        <w:rPr>
          <w:rFonts w:hint="eastAsia" w:ascii="方正小标宋简体" w:eastAsia="方正小标宋简体"/>
          <w:sz w:val="44"/>
          <w:szCs w:val="44"/>
        </w:rPr>
        <w:t>绩效评价报告</w:t>
      </w:r>
    </w:p>
    <w:p>
      <w:pPr>
        <w:widowControl/>
        <w:spacing w:line="560" w:lineRule="exact"/>
        <w:ind w:firstLine="640" w:firstLineChars="200"/>
        <w:jc w:val="left"/>
        <w:rPr>
          <w:rFonts w:ascii="仿宋_GB2312" w:eastAsia="仿宋_GB2312"/>
          <w:sz w:val="32"/>
          <w:szCs w:val="32"/>
        </w:rPr>
      </w:pPr>
    </w:p>
    <w:p>
      <w:pPr>
        <w:widowControl/>
        <w:spacing w:line="560" w:lineRule="exact"/>
        <w:ind w:firstLine="640" w:firstLineChars="200"/>
        <w:jc w:val="left"/>
        <w:rPr>
          <w:rFonts w:ascii="仿宋_GB2312" w:eastAsia="仿宋_GB2312"/>
          <w:sz w:val="32"/>
          <w:szCs w:val="32"/>
        </w:rPr>
      </w:pPr>
      <w:r>
        <w:rPr>
          <w:rFonts w:hint="eastAsia" w:ascii="仿宋_GB2312" w:eastAsia="仿宋_GB2312"/>
          <w:sz w:val="32"/>
          <w:szCs w:val="32"/>
        </w:rPr>
        <w:t>为了加强市级预算绩效管理，推进预算支出绩效评价工作，强化支出责任和效率意识，优化资源配置，提升项目支出资金保障的公共产品质量和公共服务水平，根据《铜川市财政局关于开展市本级2019年度财政重点绩效评价的通知》（铜财预〔2020〕80号），由铜川市预算评审中心组织，委托陕西公立会计师事务所有限责任公司于2020年8月12日至9月11日对铜川市生态环境局2019年度汾渭平原铜川市大气污染防治“一市一策”跟踪研究项目进行绩效评价</w:t>
      </w:r>
      <w:bookmarkEnd w:id="1"/>
      <w:bookmarkStart w:id="30" w:name="_Toc18512"/>
      <w:r>
        <w:rPr>
          <w:rFonts w:hint="eastAsia" w:ascii="仿宋_GB2312" w:eastAsia="仿宋_GB2312"/>
          <w:sz w:val="32"/>
          <w:szCs w:val="32"/>
        </w:rPr>
        <w:t>，委托正衡房地产资产评估有限公司对绩效评价工作进行咨询。现将评价情况报告如下：</w:t>
      </w:r>
      <w:bookmarkEnd w:id="2"/>
      <w:bookmarkEnd w:id="3"/>
      <w:bookmarkEnd w:id="4"/>
      <w:bookmarkEnd w:id="5"/>
      <w:bookmarkEnd w:id="30"/>
    </w:p>
    <w:p>
      <w:pPr>
        <w:pStyle w:val="12"/>
        <w:spacing w:line="600" w:lineRule="exact"/>
        <w:ind w:firstLine="640"/>
        <w:rPr>
          <w:rFonts w:ascii="黑体" w:hAnsi="黑体"/>
        </w:rPr>
      </w:pPr>
      <w:bookmarkStart w:id="31" w:name="_Toc50991670"/>
      <w:bookmarkStart w:id="32" w:name="_Toc54202978"/>
      <w:r>
        <w:rPr>
          <w:rFonts w:hint="eastAsia" w:ascii="黑体" w:hAnsi="黑体"/>
        </w:rPr>
        <w:t>一、项目概况</w:t>
      </w:r>
      <w:bookmarkEnd w:id="31"/>
      <w:bookmarkEnd w:id="32"/>
    </w:p>
    <w:p>
      <w:pPr>
        <w:spacing w:line="600" w:lineRule="exact"/>
        <w:ind w:firstLine="640" w:firstLineChars="200"/>
        <w:outlineLvl w:val="1"/>
        <w:rPr>
          <w:rFonts w:ascii="楷体_GB2312" w:eastAsia="楷体_GB2312"/>
          <w:sz w:val="32"/>
          <w:szCs w:val="32"/>
        </w:rPr>
      </w:pPr>
      <w:bookmarkStart w:id="33" w:name="_Toc54202979"/>
      <w:r>
        <w:rPr>
          <w:rFonts w:hint="eastAsia" w:ascii="楷体_GB2312" w:eastAsia="楷体_GB2312"/>
          <w:sz w:val="32"/>
          <w:szCs w:val="32"/>
        </w:rPr>
        <w:t>（一）项目背景</w:t>
      </w:r>
      <w:bookmarkEnd w:id="33"/>
    </w:p>
    <w:p>
      <w:pPr>
        <w:spacing w:line="600" w:lineRule="exact"/>
        <w:ind w:firstLine="640" w:firstLineChars="200"/>
        <w:rPr>
          <w:rFonts w:ascii="仿宋_GB2312" w:eastAsia="仿宋_GB2312"/>
          <w:bCs/>
          <w:sz w:val="32"/>
          <w:szCs w:val="32"/>
        </w:rPr>
      </w:pPr>
      <w:bookmarkStart w:id="34" w:name="_Toc50989642"/>
      <w:bookmarkStart w:id="35" w:name="_Toc50990415"/>
      <w:bookmarkStart w:id="36" w:name="_Toc50991673"/>
      <w:bookmarkStart w:id="37" w:name="_Toc50989337"/>
      <w:r>
        <w:rPr>
          <w:rFonts w:hint="eastAsia" w:ascii="仿宋_GB2312" w:eastAsia="仿宋_GB2312"/>
          <w:bCs/>
          <w:sz w:val="32"/>
          <w:szCs w:val="32"/>
        </w:rPr>
        <w:t>2017年4月26日，国务院第170次常务会审议决定由生态环境部牵头，联合科技、中科院、农业、工信、气象、卫生、高校等部门和单位，针对京津冀及周边地区秋冬季大气重污染成因、重点行业和污染物排放管控、重污染天气应对和空气质量长期改善路径、居民健康影响与防护等难题开展集中攻关。在京津冀及周边“2+26”城市建立了“一市一策”驻点跟踪研究工作机制，形成了“边研究、边产出、边应用、边反馈、边完善”的创新工作模式，实现了科研组织实施机制的创新，取得较好的研究成果和实际成效，有力地促进了科学研究与环境管理决策、实际治理工作紧密结合。</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2017年10月，党的十九大报告中提出了“坚持全民共治、源头防治，持续实施大气污染防治行动，打赢蓝天保卫战</w:t>
      </w:r>
      <w:r>
        <w:rPr>
          <w:rFonts w:hint="eastAsia" w:ascii="仿宋_GB2312" w:eastAsia="仿宋_GB2312"/>
          <w:bCs/>
          <w:color w:val="FF0000"/>
          <w:sz w:val="32"/>
          <w:szCs w:val="32"/>
        </w:rPr>
        <w:t>。</w:t>
      </w:r>
      <w:r>
        <w:rPr>
          <w:rFonts w:hint="eastAsia" w:ascii="仿宋_GB2312" w:eastAsia="仿宋_GB2312"/>
          <w:bCs/>
          <w:sz w:val="32"/>
          <w:szCs w:val="32"/>
        </w:rPr>
        <w:t>”，对大气污染防治工作提出了更高的要求。</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为全面贯彻落实“十九大”报告提出的“打赢蓝天保卫战”的要求，进一步推进大气重污染成因与治理攻关工作，2018年5月11日，生态环境部在北京召开汾渭平原11城市大气污染防治“一市一策”跟踪研究工作座谈会，会议要求，汾渭平原11城市借鉴京津冀“2+26”城市应用经验，组建“国家队+地方队”的专家跟踪研究团队，建立“一市一策”跟踪研究机制，进行长期驻点研究和技术指导。</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2018年7月9日，生态环境部决定在汾渭平原11个城市推广应用“一市一策”驻点跟踪研究工作机制，并印发了《关于在汾渭平原开展大气污染防治“一市一策”驻点跟踪研究工作的通知》（环科技函〔2018〕71号）</w:t>
      </w:r>
      <w:bookmarkEnd w:id="34"/>
      <w:bookmarkEnd w:id="35"/>
      <w:bookmarkEnd w:id="36"/>
      <w:bookmarkEnd w:id="37"/>
      <w:r>
        <w:rPr>
          <w:rFonts w:hint="eastAsia" w:ascii="仿宋_GB2312" w:eastAsia="仿宋_GB2312"/>
          <w:bCs/>
          <w:sz w:val="32"/>
          <w:szCs w:val="32"/>
        </w:rPr>
        <w:t>。文件印发后，大气重污染成因与治理攻关项目管理办公室、陕西省生态环境厅、国家大气污染防治公关联合中心、中国科学院地球环境研究所与铜川市人民政府等相关各方共同签署了《铜川市大气污染防治“一市一策”跟踪研究任务书》，确定了项目具体任务和工作负责单位。</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2018年9月22日，陕西省政府发布了《陕西省铁腕治霾打赢蓝天保卫战三年行动方案（2018-2020年）》（陕政发〔2018〕16号），正式对铜川市大气污染防治提出了明确要求。</w:t>
      </w:r>
    </w:p>
    <w:p>
      <w:pPr>
        <w:spacing w:line="600" w:lineRule="exact"/>
        <w:ind w:firstLine="640" w:firstLineChars="200"/>
        <w:outlineLvl w:val="1"/>
        <w:rPr>
          <w:rFonts w:ascii="楷体_GB2312" w:eastAsia="楷体_GB2312"/>
          <w:sz w:val="32"/>
          <w:szCs w:val="32"/>
        </w:rPr>
      </w:pPr>
      <w:bookmarkStart w:id="38" w:name="_Toc54202980"/>
      <w:bookmarkStart w:id="39" w:name="_Toc50991676"/>
      <w:r>
        <w:rPr>
          <w:rFonts w:hint="eastAsia" w:ascii="楷体_GB2312" w:eastAsia="楷体_GB2312"/>
          <w:sz w:val="32"/>
          <w:szCs w:val="32"/>
        </w:rPr>
        <w:t>（二）项目主要内容及实施情况</w:t>
      </w:r>
      <w:bookmarkEnd w:id="38"/>
      <w:bookmarkEnd w:id="39"/>
    </w:p>
    <w:p>
      <w:pPr>
        <w:spacing w:line="600" w:lineRule="exact"/>
        <w:ind w:firstLine="640" w:firstLineChars="200"/>
        <w:outlineLvl w:val="2"/>
        <w:rPr>
          <w:rFonts w:ascii="仿宋_GB2312" w:eastAsia="仿宋_GB2312"/>
          <w:sz w:val="32"/>
          <w:szCs w:val="32"/>
        </w:rPr>
      </w:pPr>
      <w:bookmarkStart w:id="40" w:name="_Toc53233037"/>
      <w:r>
        <w:rPr>
          <w:rFonts w:hint="eastAsia" w:ascii="仿宋_GB2312" w:eastAsia="仿宋_GB2312"/>
          <w:sz w:val="32"/>
          <w:szCs w:val="32"/>
        </w:rPr>
        <w:t>1.项目主要内容</w:t>
      </w:r>
      <w:bookmarkEnd w:id="40"/>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根据《铜川市大气污染防治“一市一策”驻点跟踪研究项目合同书（2018年-2020年）》，项目主要工作内容如下：</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（1）调查铜川市主要大气污染物排放源,制定大气污染源清单编制的总体技术路线,根据城市特点开展污染源调查,结合现有资料,编制高分辨率大气污染源排放清单;</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（2）开展精细化来源解析工作,研究铜川市大气细颗粒物本地和区域源贡献,重点评估秋冬季不同部门、细分行业的污染贡献,指导制定“冬防期”和“夏防期”企业重污染应急方案;</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（3）开展铜川市重污染天气联合应对工作,包括污染提前预警,空气污染来源解析的预报,通过快速情景模拟实现重污染应急方案优选,并分析整个污染过程的成因,评估管控效果;</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（4）基于铜川市及周边大气环境现状和管理工作状况,评估铜川市空气质量改善潜力,筛选制约铜川市空气质量的重点排污企业,指导企业编制“一企一策”方案;</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（5）提出“一市一策”综合解决方案</w:t>
      </w:r>
      <w:r>
        <w:rPr>
          <w:rFonts w:hint="eastAsia" w:ascii="仿宋_GB2312" w:eastAsia="仿宋_GB2312"/>
          <w:bCs/>
          <w:color w:val="000000" w:themeColor="text1"/>
          <w:sz w:val="32"/>
          <w:szCs w:val="32"/>
          <w14:textFill>
            <w14:solidFill>
              <w14:schemeClr w14:val="tx1"/>
            </w14:solidFill>
          </w14:textFill>
        </w:rPr>
        <w:t>；</w:t>
      </w:r>
      <w:r>
        <w:rPr>
          <w:rFonts w:hint="eastAsia" w:ascii="仿宋_GB2312" w:eastAsia="仿宋_GB2312"/>
          <w:bCs/>
          <w:sz w:val="32"/>
          <w:szCs w:val="32"/>
        </w:rPr>
        <w:t>从短期应急和长期改善两方面,结合铜川市实际情况,因地制宜,制定空气质量改善路线图。</w:t>
      </w:r>
    </w:p>
    <w:p>
      <w:pPr>
        <w:spacing w:line="600" w:lineRule="exact"/>
        <w:ind w:firstLine="640" w:firstLineChars="200"/>
        <w:outlineLvl w:val="2"/>
        <w:rPr>
          <w:rFonts w:ascii="仿宋_GB2312" w:eastAsia="仿宋_GB2312"/>
          <w:color w:val="000000" w:themeColor="text1"/>
          <w:sz w:val="32"/>
          <w:szCs w:val="32"/>
          <w:shd w:val="clear" w:color="auto" w:fill="CCE8CF" w:themeFill="background1"/>
          <w14:textFill>
            <w14:solidFill>
              <w14:schemeClr w14:val="tx1"/>
            </w14:solidFill>
          </w14:textFill>
        </w:rPr>
      </w:pPr>
      <w:bookmarkStart w:id="41" w:name="_Toc50991679"/>
      <w:bookmarkStart w:id="42" w:name="_Toc53233038"/>
      <w:r>
        <w:rPr>
          <w:rFonts w:hint="eastAsia" w:ascii="仿宋_GB2312" w:eastAsia="仿宋_GB2312"/>
          <w:sz w:val="32"/>
          <w:szCs w:val="32"/>
          <w:shd w:val="clear" w:color="auto" w:fill="CCE8CF" w:themeFill="background1"/>
        </w:rPr>
        <w:t>2.项目实施情况</w:t>
      </w:r>
      <w:bookmarkEnd w:id="41"/>
      <w:bookmarkEnd w:id="42"/>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为落实《关于在汾渭平原开展大气污染防治“一市一策”驻点跟踪研究工作的通知》文件工作任务和陕西省对铜川市大气污染防治的要求，铜川市结合当地实际情况，编制了《铜川市大气污染防治“一市一策”跟踪研究项目实施方案》，提出了铜川市大气污染防治“一市一策”跟踪研究项目（2018-2020年）。2018年10月17日，在铜川市秋冬季大气污染防治攻坚行动动员会暨“一市一策”驻点跟踪研究启动会上，铜川市政府与中国科学院地球环境研究所签订“一市一策”战略合作框架协议，项目正式设立。</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2019年5月，铜川市生态环境局根据本项目任务书，与项目工作负责单位—中国科学院地球环境研究所签订了《铜川市大气污染防治“一市一策”驻点跟踪研究项目合同书（2018年-2020年）》，合同约定项目执行期为30个月（2018年7月-2021年4月），合同服务范围包括开展铜川市细颗粒物精细化来源解析、编制高分辨率大气污染源排放清单、开展铜川市重污染天气联合应对、提出铜川市“一市一策”综合解决方案、制定铜川市空气质量改善路线图等具体内容，项目正式进入实施阶段。</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截止2019年底，本项目已按照项目要求的时间进度完成了相关工作，主要工作成果如下：</w:t>
      </w:r>
    </w:p>
    <w:p>
      <w:pPr>
        <w:spacing w:line="560" w:lineRule="exact"/>
        <w:ind w:firstLine="482" w:firstLineChars="200"/>
        <w:jc w:val="center"/>
        <w:rPr>
          <w:rFonts w:eastAsia="仿宋_GB2312"/>
          <w:b/>
          <w:sz w:val="24"/>
        </w:rPr>
      </w:pPr>
      <w:r>
        <w:rPr>
          <w:rFonts w:eastAsia="仿宋_GB2312"/>
          <w:b/>
          <w:sz w:val="24"/>
        </w:rPr>
        <w:t>表1 项目实施工作成果明细表</w:t>
      </w:r>
    </w:p>
    <w:tbl>
      <w:tblPr>
        <w:tblStyle w:val="13"/>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877"/>
        <w:gridCol w:w="71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b/>
                <w:color w:val="000000"/>
                <w:kern w:val="0"/>
                <w:sz w:val="24"/>
              </w:rPr>
            </w:pPr>
            <w:bookmarkStart w:id="43" w:name="RANGE!A1"/>
            <w:r>
              <w:rPr>
                <w:rFonts w:eastAsia="仿宋_GB2312"/>
                <w:b/>
                <w:color w:val="000000"/>
                <w:kern w:val="0"/>
                <w:sz w:val="24"/>
              </w:rPr>
              <w:t>序号</w:t>
            </w:r>
            <w:bookmarkEnd w:id="43"/>
          </w:p>
        </w:tc>
        <w:tc>
          <w:tcPr>
            <w:tcW w:w="3964" w:type="pct"/>
            <w:shd w:val="clear" w:color="auto" w:fill="auto"/>
            <w:vAlign w:val="center"/>
          </w:tcPr>
          <w:p>
            <w:pPr>
              <w:widowControl/>
              <w:jc w:val="center"/>
              <w:rPr>
                <w:rFonts w:eastAsia="仿宋_GB2312"/>
                <w:b/>
                <w:color w:val="000000"/>
                <w:kern w:val="0"/>
                <w:sz w:val="24"/>
              </w:rPr>
            </w:pPr>
            <w:r>
              <w:rPr>
                <w:rFonts w:eastAsia="仿宋_GB2312"/>
                <w:b/>
                <w:color w:val="000000"/>
                <w:kern w:val="0"/>
                <w:sz w:val="24"/>
              </w:rPr>
              <w:t>工作成果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1</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铜川市2018-2019年大气颗粒物分布特征与来源解析研究报告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2</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铜川市2019年高分辨率大气污染源排放清单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3</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重污染天气发生气象背景分析报告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4</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铜川市典型重污染过程分析与评估报告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5</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预报预警空气质量报告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6</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空气质量预报预警服务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7</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重点排污企业的“一企一策”减排方案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67" w:hRule="atLeast"/>
        </w:trPr>
        <w:tc>
          <w:tcPr>
            <w:tcW w:w="1036" w:type="pct"/>
            <w:shd w:val="clear" w:color="auto" w:fill="auto"/>
            <w:vAlign w:val="center"/>
          </w:tcPr>
          <w:p>
            <w:pPr>
              <w:widowControl/>
              <w:jc w:val="center"/>
              <w:rPr>
                <w:rFonts w:eastAsia="仿宋_GB2312"/>
                <w:color w:val="000000"/>
                <w:kern w:val="0"/>
                <w:sz w:val="24"/>
              </w:rPr>
            </w:pPr>
            <w:r>
              <w:rPr>
                <w:rFonts w:eastAsia="仿宋_GB2312"/>
                <w:color w:val="000000"/>
                <w:kern w:val="0"/>
                <w:sz w:val="24"/>
              </w:rPr>
              <w:t>8</w:t>
            </w:r>
          </w:p>
        </w:tc>
        <w:tc>
          <w:tcPr>
            <w:tcW w:w="3964" w:type="pct"/>
            <w:shd w:val="clear" w:color="auto" w:fill="CCE8CF" w:themeFill="background1"/>
            <w:vAlign w:val="center"/>
          </w:tcPr>
          <w:p>
            <w:pPr>
              <w:widowControl/>
              <w:jc w:val="left"/>
              <w:rPr>
                <w:rFonts w:eastAsia="仿宋_GB2312"/>
                <w:color w:val="000000"/>
                <w:kern w:val="0"/>
                <w:sz w:val="24"/>
              </w:rPr>
            </w:pPr>
            <w:r>
              <w:rPr>
                <w:rFonts w:eastAsia="仿宋_GB2312"/>
                <w:color w:val="000000"/>
                <w:kern w:val="0"/>
                <w:sz w:val="24"/>
              </w:rPr>
              <w:t>“一市一策”初步综合解决方案及秋冬季污染防治方案</w:t>
            </w:r>
          </w:p>
        </w:tc>
      </w:tr>
    </w:tbl>
    <w:p>
      <w:pPr>
        <w:spacing w:line="600" w:lineRule="exact"/>
        <w:ind w:firstLine="640" w:firstLineChars="200"/>
        <w:outlineLvl w:val="1"/>
        <w:rPr>
          <w:rFonts w:eastAsia="楷体_GB2312"/>
          <w:sz w:val="32"/>
          <w:szCs w:val="32"/>
        </w:rPr>
      </w:pPr>
      <w:bookmarkStart w:id="44" w:name="_Toc50991680"/>
      <w:bookmarkStart w:id="45" w:name="_Toc54202981"/>
      <w:r>
        <w:rPr>
          <w:rFonts w:eastAsia="楷体_GB2312"/>
          <w:sz w:val="32"/>
          <w:szCs w:val="32"/>
        </w:rPr>
        <w:t>（三）项目资金安排及使用情况</w:t>
      </w:r>
      <w:bookmarkEnd w:id="44"/>
      <w:bookmarkEnd w:id="45"/>
    </w:p>
    <w:p>
      <w:pPr>
        <w:spacing w:line="560" w:lineRule="exact"/>
        <w:ind w:firstLine="640" w:firstLineChars="200"/>
        <w:rPr>
          <w:rFonts w:ascii="仿宋_GB2312" w:eastAsia="仿宋_GB2312"/>
          <w:bCs/>
          <w:sz w:val="32"/>
          <w:szCs w:val="32"/>
        </w:rPr>
      </w:pPr>
      <w:bookmarkStart w:id="46" w:name="_Toc50991681"/>
      <w:bookmarkStart w:id="47" w:name="_Toc50990423"/>
      <w:bookmarkStart w:id="48" w:name="_Toc50989650"/>
      <w:bookmarkStart w:id="49" w:name="_Toc50989345"/>
      <w:r>
        <w:rPr>
          <w:rFonts w:hint="eastAsia" w:ascii="仿宋_GB2312" w:eastAsia="仿宋_GB2312"/>
          <w:bCs/>
          <w:sz w:val="32"/>
          <w:szCs w:val="32"/>
        </w:rPr>
        <w:t>项目合同金额共计730.00万元，根据项目合同安排，应于合同签订后支付260.00万元合同款，2019年9月30日前按照项目实际工作量的考核结果支付260.00万元合同款，当年应支付合同金额共计520.00万元。</w:t>
      </w:r>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经铜川市财政局《关于下达2019年市级部门支出预算的通知》（铜财预〔2019〕1号）文件批复，铜川市生态环境局2019年度汾渭平原铜川市大气污染防治“一市一策”跟踪研究项目预算资金为200.00万元，根据铜川市财政局《关于落实过“紧日子”要求调减压缩2019年市级部门支出预算的通知》（铜财预〔2019〕52号）文件要求，项目2019年预算资金缩减为180.00万元。</w:t>
      </w:r>
    </w:p>
    <w:p>
      <w:pPr>
        <w:spacing w:line="560" w:lineRule="exact"/>
        <w:ind w:firstLine="640" w:firstLineChars="200"/>
        <w:rPr>
          <w:rFonts w:eastAsia="仿宋_GB2312"/>
          <w:bCs/>
          <w:sz w:val="32"/>
          <w:szCs w:val="32"/>
        </w:rPr>
      </w:pPr>
      <w:r>
        <w:rPr>
          <w:rFonts w:hint="eastAsia" w:ascii="仿宋_GB2312" w:eastAsia="仿宋_GB2312"/>
          <w:bCs/>
          <w:sz w:val="32"/>
          <w:szCs w:val="32"/>
        </w:rPr>
        <w:t>项目2019年实际支出资金300.00万元，其中包括：2019年度汾渭平原铜川市大气污染防治“一市一策”跟踪研究项目预算资金180.00万元，剩余120.00万元在空气质量预报体系能力建设信息发布项目中列支。</w:t>
      </w:r>
      <w:bookmarkEnd w:id="46"/>
      <w:bookmarkEnd w:id="47"/>
      <w:bookmarkEnd w:id="48"/>
      <w:bookmarkEnd w:id="49"/>
    </w:p>
    <w:p>
      <w:pPr>
        <w:spacing w:line="600" w:lineRule="exact"/>
        <w:ind w:firstLine="640" w:firstLineChars="200"/>
        <w:outlineLvl w:val="1"/>
        <w:rPr>
          <w:rFonts w:eastAsia="楷体_GB2312"/>
          <w:sz w:val="32"/>
          <w:szCs w:val="32"/>
        </w:rPr>
      </w:pPr>
      <w:bookmarkStart w:id="50" w:name="_Toc54202982"/>
      <w:bookmarkStart w:id="51" w:name="_Toc50991682"/>
      <w:bookmarkStart w:id="52" w:name="_Toc21420312"/>
      <w:r>
        <w:rPr>
          <w:rFonts w:eastAsia="楷体_GB2312"/>
          <w:sz w:val="32"/>
          <w:szCs w:val="32"/>
        </w:rPr>
        <w:t>（四）绩效目标</w:t>
      </w:r>
      <w:bookmarkEnd w:id="50"/>
      <w:bookmarkEnd w:id="51"/>
      <w:bookmarkEnd w:id="52"/>
    </w:p>
    <w:p>
      <w:pPr>
        <w:spacing w:line="600" w:lineRule="exact"/>
        <w:ind w:firstLine="640" w:firstLineChars="200"/>
        <w:outlineLvl w:val="2"/>
        <w:rPr>
          <w:rFonts w:ascii="仿宋_GB2312" w:eastAsia="仿宋_GB2312"/>
          <w:sz w:val="32"/>
          <w:szCs w:val="32"/>
        </w:rPr>
      </w:pPr>
      <w:bookmarkStart w:id="53" w:name="_Toc53233041"/>
      <w:r>
        <w:rPr>
          <w:rFonts w:hint="eastAsia" w:ascii="仿宋_GB2312" w:eastAsia="仿宋_GB2312"/>
          <w:sz w:val="32"/>
          <w:szCs w:val="32"/>
        </w:rPr>
        <w:t>1.项目总目标</w:t>
      </w:r>
      <w:bookmarkEnd w:id="53"/>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本项目的总体目标为：完成大气重污染成因与治理攻关的既定目标，明显减少重污染天数，明显改善环境空气质量，明显增强人民的蓝天幸福感,最终达到陕西省大气污染物治理标准和国家相关标准，同时力争让铜川市成为汾渭平原大气污染防治的标杆城市,以科技保障打赢未来3年蓝天保卫战。</w:t>
      </w:r>
    </w:p>
    <w:p>
      <w:pPr>
        <w:pStyle w:val="12"/>
        <w:spacing w:line="600" w:lineRule="exact"/>
        <w:ind w:firstLine="640"/>
        <w:outlineLvl w:val="2"/>
        <w:rPr>
          <w:rFonts w:ascii="仿宋_GB2312" w:hAnsi="Times New Roman" w:eastAsia="仿宋_GB2312"/>
          <w:bCs w:val="0"/>
          <w:shd w:val="clear" w:color="auto" w:fill="CCE8CF" w:themeFill="background1"/>
        </w:rPr>
      </w:pPr>
      <w:bookmarkStart w:id="54" w:name="_Toc53761853"/>
      <w:bookmarkStart w:id="55" w:name="_Toc54202983"/>
      <w:bookmarkStart w:id="56" w:name="_Toc53381091"/>
      <w:bookmarkStart w:id="57" w:name="_Toc53233042"/>
      <w:bookmarkStart w:id="58" w:name="_Toc50991684"/>
      <w:bookmarkStart w:id="59" w:name="_Toc53761920"/>
      <w:r>
        <w:rPr>
          <w:rFonts w:hint="eastAsia" w:ascii="仿宋_GB2312" w:hAnsi="Times New Roman" w:eastAsia="仿宋_GB2312"/>
          <w:bCs w:val="0"/>
          <w:shd w:val="clear" w:color="auto" w:fill="CCE8CF" w:themeFill="background1"/>
        </w:rPr>
        <w:t>2.年度目标</w:t>
      </w:r>
      <w:bookmarkEnd w:id="54"/>
      <w:bookmarkEnd w:id="55"/>
      <w:bookmarkEnd w:id="56"/>
      <w:bookmarkEnd w:id="57"/>
      <w:bookmarkEnd w:id="58"/>
      <w:bookmarkEnd w:id="59"/>
    </w:p>
    <w:p>
      <w:pPr>
        <w:spacing w:line="560" w:lineRule="exact"/>
        <w:ind w:firstLine="640" w:firstLineChars="200"/>
        <w:rPr>
          <w:rFonts w:ascii="仿宋_GB2312" w:eastAsia="仿宋_GB2312"/>
          <w:sz w:val="30"/>
          <w:szCs w:val="30"/>
        </w:rPr>
      </w:pPr>
      <w:r>
        <w:rPr>
          <w:rFonts w:hint="eastAsia" w:ascii="仿宋_GB2312" w:eastAsia="仿宋_GB2312"/>
          <w:bCs/>
          <w:sz w:val="32"/>
          <w:szCs w:val="32"/>
        </w:rPr>
        <w:t>2019年度项目支出绩效目标已随铜川市生态环境局2019年度部门支出预算在铜川市人民政府官方网站进行了公开，具体内容如下：</w:t>
      </w:r>
      <w:bookmarkStart w:id="60" w:name="_Toc53761921"/>
      <w:bookmarkStart w:id="61" w:name="_Toc53761854"/>
      <w:bookmarkStart w:id="62" w:name="_Toc50991685"/>
      <w:bookmarkStart w:id="63" w:name="_Toc53330166"/>
      <w:bookmarkStart w:id="64" w:name="_Toc50990427"/>
      <w:bookmarkStart w:id="65" w:name="_Toc50989652"/>
      <w:bookmarkStart w:id="66" w:name="_Toc50989347"/>
    </w:p>
    <w:p>
      <w:pPr>
        <w:widowControl/>
        <w:spacing w:line="240" w:lineRule="atLeast"/>
        <w:ind w:right="56"/>
        <w:jc w:val="center"/>
        <w:outlineLvl w:val="0"/>
        <w:rPr>
          <w:rFonts w:cs="宋体"/>
          <w:color w:val="000000"/>
          <w:sz w:val="36"/>
          <w:szCs w:val="22"/>
        </w:rPr>
      </w:pPr>
      <w:bookmarkStart w:id="67" w:name="_Toc54202984"/>
      <w:r>
        <w:rPr>
          <w:rFonts w:hint="eastAsia" w:eastAsia="方正小标宋简体"/>
          <w:sz w:val="30"/>
          <w:szCs w:val="30"/>
        </w:rPr>
        <w:t>项目支出绩效目标申报表</w:t>
      </w:r>
      <w:bookmarkEnd w:id="60"/>
      <w:bookmarkEnd w:id="61"/>
      <w:bookmarkEnd w:id="62"/>
      <w:bookmarkEnd w:id="63"/>
      <w:bookmarkEnd w:id="64"/>
      <w:bookmarkEnd w:id="65"/>
      <w:bookmarkEnd w:id="66"/>
      <w:bookmarkEnd w:id="67"/>
    </w:p>
    <w:p>
      <w:pPr>
        <w:spacing w:line="240" w:lineRule="atLeast"/>
        <w:jc w:val="center"/>
        <w:outlineLvl w:val="1"/>
        <w:rPr>
          <w:sz w:val="24"/>
        </w:rPr>
      </w:pPr>
      <w:bookmarkStart w:id="68" w:name="_Toc50990428"/>
      <w:bookmarkStart w:id="69" w:name="_Toc53761922"/>
      <w:bookmarkStart w:id="70" w:name="_Toc11395"/>
      <w:bookmarkStart w:id="71" w:name="_Toc53761855"/>
      <w:bookmarkStart w:id="72" w:name="_Toc50989348"/>
      <w:bookmarkStart w:id="73" w:name="_Toc50989653"/>
      <w:bookmarkStart w:id="74" w:name="_Toc50991686"/>
      <w:bookmarkStart w:id="75" w:name="_Toc53330167"/>
      <w:bookmarkStart w:id="76" w:name="_Toc54202985"/>
      <w:r>
        <w:rPr>
          <w:sz w:val="24"/>
        </w:rPr>
        <w:t>（</w:t>
      </w:r>
      <w:r>
        <w:rPr>
          <w:rFonts w:eastAsia="Times New Roman"/>
          <w:sz w:val="24"/>
        </w:rPr>
        <w:t>201</w:t>
      </w:r>
      <w:r>
        <w:rPr>
          <w:rFonts w:hint="eastAsia"/>
          <w:sz w:val="24"/>
        </w:rPr>
        <w:t>9</w:t>
      </w:r>
      <w:r>
        <w:rPr>
          <w:sz w:val="24"/>
        </w:rPr>
        <w:t>年度）</w:t>
      </w:r>
      <w:bookmarkEnd w:id="68"/>
      <w:bookmarkEnd w:id="69"/>
      <w:bookmarkEnd w:id="70"/>
      <w:bookmarkEnd w:id="71"/>
      <w:bookmarkEnd w:id="72"/>
      <w:bookmarkEnd w:id="73"/>
      <w:bookmarkEnd w:id="74"/>
      <w:bookmarkEnd w:id="75"/>
      <w:bookmarkEnd w:id="76"/>
    </w:p>
    <w:p>
      <w:pPr>
        <w:spacing w:line="240" w:lineRule="atLeast"/>
        <w:jc w:val="right"/>
        <w:outlineLvl w:val="1"/>
        <w:rPr>
          <w:sz w:val="18"/>
          <w:szCs w:val="18"/>
        </w:rPr>
      </w:pPr>
      <w:bookmarkStart w:id="77" w:name="_Toc53761923"/>
      <w:bookmarkStart w:id="78" w:name="_Toc53330168"/>
      <w:bookmarkStart w:id="79" w:name="_Toc54202986"/>
      <w:bookmarkStart w:id="80" w:name="_Toc53761856"/>
      <w:r>
        <w:rPr>
          <w:rFonts w:hint="eastAsia"/>
          <w:sz w:val="18"/>
          <w:szCs w:val="18"/>
        </w:rPr>
        <w:t>单位：万元</w:t>
      </w:r>
      <w:bookmarkEnd w:id="77"/>
      <w:bookmarkEnd w:id="78"/>
      <w:bookmarkEnd w:id="79"/>
      <w:bookmarkEnd w:id="80"/>
    </w:p>
    <w:tbl>
      <w:tblPr>
        <w:tblStyle w:val="13"/>
        <w:tblW w:w="5000" w:type="pct"/>
        <w:tblInd w:w="0" w:type="dxa"/>
        <w:tblLayout w:type="autofit"/>
        <w:tblCellMar>
          <w:top w:w="27" w:type="dxa"/>
          <w:left w:w="107" w:type="dxa"/>
          <w:bottom w:w="0" w:type="dxa"/>
          <w:right w:w="8" w:type="dxa"/>
        </w:tblCellMar>
      </w:tblPr>
      <w:tblGrid>
        <w:gridCol w:w="494"/>
        <w:gridCol w:w="606"/>
        <w:gridCol w:w="281"/>
        <w:gridCol w:w="568"/>
        <w:gridCol w:w="993"/>
        <w:gridCol w:w="710"/>
        <w:gridCol w:w="993"/>
        <w:gridCol w:w="2408"/>
        <w:gridCol w:w="1906"/>
      </w:tblGrid>
      <w:tr>
        <w:tblPrEx>
          <w:tblCellMar>
            <w:top w:w="27" w:type="dxa"/>
            <w:left w:w="107" w:type="dxa"/>
            <w:bottom w:w="0" w:type="dxa"/>
            <w:right w:w="8" w:type="dxa"/>
          </w:tblCellMar>
        </w:tblPrEx>
        <w:trPr>
          <w:trHeight w:val="20" w:hRule="atLeast"/>
        </w:trPr>
        <w:tc>
          <w:tcPr>
            <w:tcW w:w="7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项目名称</w:t>
            </w:r>
          </w:p>
        </w:tc>
        <w:tc>
          <w:tcPr>
            <w:tcW w:w="422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汾渭平原铜川市大气污染防治“一市一策”跟踪研究</w:t>
            </w:r>
          </w:p>
        </w:tc>
      </w:tr>
      <w:tr>
        <w:trPr>
          <w:trHeight w:val="20" w:hRule="atLeast"/>
        </w:trPr>
        <w:tc>
          <w:tcPr>
            <w:tcW w:w="7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主管部门</w:t>
            </w:r>
          </w:p>
        </w:tc>
        <w:tc>
          <w:tcPr>
            <w:tcW w:w="1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铜川市生态环境局</w:t>
            </w:r>
          </w:p>
        </w:tc>
        <w:tc>
          <w:tcPr>
            <w:tcW w:w="18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实施单位</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铜川市生态环境局</w:t>
            </w:r>
          </w:p>
        </w:tc>
      </w:tr>
      <w:tr>
        <w:trPr>
          <w:trHeight w:val="20" w:hRule="atLeast"/>
        </w:trPr>
        <w:tc>
          <w:tcPr>
            <w:tcW w:w="7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项目属性</w:t>
            </w:r>
          </w:p>
        </w:tc>
        <w:tc>
          <w:tcPr>
            <w:tcW w:w="126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新增项目</w:t>
            </w:r>
          </w:p>
        </w:tc>
        <w:tc>
          <w:tcPr>
            <w:tcW w:w="18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项目期</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3年</w:t>
            </w:r>
          </w:p>
        </w:tc>
      </w:tr>
      <w:tr>
        <w:tblPrEx>
          <w:tblCellMar>
            <w:top w:w="27" w:type="dxa"/>
            <w:left w:w="107" w:type="dxa"/>
            <w:bottom w:w="0" w:type="dxa"/>
            <w:right w:w="8" w:type="dxa"/>
          </w:tblCellMar>
        </w:tblPrEx>
        <w:trPr>
          <w:trHeight w:val="20" w:hRule="atLeast"/>
        </w:trPr>
        <w:tc>
          <w:tcPr>
            <w:tcW w:w="771"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项目资金（万元）</w:t>
            </w:r>
          </w:p>
        </w:tc>
        <w:tc>
          <w:tcPr>
            <w:tcW w:w="8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中期资金总额</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18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年度资金总额：</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200</w:t>
            </w:r>
          </w:p>
        </w:tc>
      </w:tr>
      <w:tr>
        <w:trPr>
          <w:trHeight w:val="20" w:hRule="atLeast"/>
        </w:trPr>
        <w:tc>
          <w:tcPr>
            <w:tcW w:w="77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8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其中：财政拨款</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18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其中：财政拨款</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200</w:t>
            </w:r>
          </w:p>
        </w:tc>
      </w:tr>
      <w:tr>
        <w:trPr>
          <w:trHeight w:val="20" w:hRule="atLeast"/>
        </w:trPr>
        <w:tc>
          <w:tcPr>
            <w:tcW w:w="771"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87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其他资金</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18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其他资金</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r>
      <w:tr>
        <w:tblPrEx>
          <w:tblCellMar>
            <w:top w:w="27" w:type="dxa"/>
            <w:left w:w="107" w:type="dxa"/>
            <w:bottom w:w="0" w:type="dxa"/>
            <w:right w:w="8" w:type="dxa"/>
          </w:tblCellMar>
        </w:tblPrEx>
        <w:trPr>
          <w:trHeight w:val="20" w:hRule="atLeast"/>
        </w:trPr>
        <w:tc>
          <w:tcPr>
            <w:tcW w:w="2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总体目标</w:t>
            </w:r>
          </w:p>
        </w:tc>
        <w:tc>
          <w:tcPr>
            <w:tcW w:w="17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中期目标</w:t>
            </w:r>
          </w:p>
        </w:tc>
        <w:tc>
          <w:tcPr>
            <w:tcW w:w="296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年度目标</w:t>
            </w:r>
          </w:p>
        </w:tc>
      </w:tr>
      <w:tr>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tcBorders>
              <w:top w:val="single" w:color="000000" w:sz="4" w:space="0"/>
              <w:left w:val="single" w:color="000000" w:sz="4" w:space="0"/>
              <w:bottom w:val="single" w:color="000000" w:sz="4" w:space="0"/>
              <w:right w:val="nil"/>
            </w:tcBorders>
            <w:shd w:val="clear" w:color="auto" w:fill="auto"/>
            <w:vAlign w:val="center"/>
          </w:tcPr>
          <w:p>
            <w:pPr>
              <w:spacing w:line="240" w:lineRule="atLeast"/>
              <w:jc w:val="center"/>
              <w:rPr>
                <w:rFonts w:eastAsiaTheme="minorEastAsia"/>
                <w:sz w:val="18"/>
                <w:szCs w:val="18"/>
              </w:rPr>
            </w:pPr>
          </w:p>
        </w:tc>
        <w:tc>
          <w:tcPr>
            <w:tcW w:w="1424" w:type="pct"/>
            <w:gridSpan w:val="4"/>
            <w:tcBorders>
              <w:top w:val="single" w:color="000000" w:sz="4" w:space="0"/>
              <w:left w:val="nil"/>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2962" w:type="pct"/>
            <w:gridSpan w:val="3"/>
            <w:tcBorders>
              <w:top w:val="single" w:color="000000" w:sz="4" w:space="0"/>
              <w:left w:val="single" w:color="000000" w:sz="4" w:space="0"/>
              <w:right w:val="single" w:color="000000" w:sz="4" w:space="0"/>
            </w:tcBorders>
            <w:shd w:val="clear" w:color="auto" w:fill="auto"/>
            <w:vAlign w:val="center"/>
          </w:tcPr>
          <w:p>
            <w:pPr>
              <w:spacing w:line="240" w:lineRule="atLeast"/>
              <w:jc w:val="left"/>
              <w:rPr>
                <w:rFonts w:eastAsiaTheme="minorEastAsia"/>
                <w:sz w:val="18"/>
                <w:szCs w:val="18"/>
              </w:rPr>
            </w:pPr>
            <w:r>
              <w:rPr>
                <w:rFonts w:hint="eastAsia" w:eastAsiaTheme="minorEastAsia"/>
                <w:sz w:val="18"/>
                <w:szCs w:val="18"/>
              </w:rPr>
              <w:t>编制污染源解析、分析报告</w:t>
            </w:r>
          </w:p>
        </w:tc>
      </w:tr>
      <w:tr>
        <w:tblPrEx>
          <w:tblCellMar>
            <w:top w:w="27" w:type="dxa"/>
            <w:left w:w="107" w:type="dxa"/>
            <w:bottom w:w="0" w:type="dxa"/>
            <w:right w:w="8" w:type="dxa"/>
          </w:tblCellMar>
        </w:tblPrEx>
        <w:trPr>
          <w:trHeight w:val="467" w:hRule="atLeast"/>
        </w:trPr>
        <w:tc>
          <w:tcPr>
            <w:tcW w:w="2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绩效指标</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eastAsiaTheme="minorEastAsia"/>
                <w:sz w:val="18"/>
                <w:szCs w:val="18"/>
              </w:rPr>
            </w:pPr>
            <w:r>
              <w:rPr>
                <w:rFonts w:hint="eastAsia" w:eastAsiaTheme="minorEastAsia"/>
                <w:sz w:val="18"/>
                <w:szCs w:val="18"/>
              </w:rPr>
              <w:t>一级指标</w:t>
            </w:r>
          </w:p>
        </w:tc>
        <w:tc>
          <w:tcPr>
            <w:tcW w:w="4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二级指标</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指标内容</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指标值</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二级指标</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指标内容</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指标值</w:t>
            </w:r>
          </w:p>
        </w:tc>
      </w:tr>
      <w:tr>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r>
              <w:rPr>
                <w:rFonts w:hint="eastAsia" w:eastAsiaTheme="minorEastAsia"/>
                <w:sz w:val="18"/>
                <w:szCs w:val="18"/>
              </w:rPr>
              <w:t>产出指标</w:t>
            </w:r>
          </w:p>
        </w:tc>
        <w:tc>
          <w:tcPr>
            <w:tcW w:w="47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数量指标</w:t>
            </w: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数量指标</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污染源解析、分析报告份数</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≥20份</w:t>
            </w:r>
          </w:p>
        </w:tc>
      </w:tr>
      <w:tr>
        <w:tblPrEx>
          <w:tblCellMar>
            <w:top w:w="27" w:type="dxa"/>
            <w:left w:w="107" w:type="dxa"/>
            <w:bottom w:w="0" w:type="dxa"/>
            <w:right w:w="8" w:type="dxa"/>
          </w:tblCellMar>
        </w:tblPrEx>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专家团人数</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≥30人</w:t>
            </w:r>
          </w:p>
        </w:tc>
      </w:tr>
      <w:tr>
        <w:tblPrEx>
          <w:tblCellMar>
            <w:top w:w="27" w:type="dxa"/>
            <w:left w:w="107" w:type="dxa"/>
            <w:bottom w:w="0" w:type="dxa"/>
            <w:right w:w="8" w:type="dxa"/>
          </w:tblCellMar>
        </w:tblPrEx>
        <w:trPr>
          <w:trHeight w:val="367"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培训次数</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≥2次</w:t>
            </w:r>
          </w:p>
        </w:tc>
      </w:tr>
      <w:tr>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质量指标</w:t>
            </w:r>
          </w:p>
        </w:tc>
        <w:tc>
          <w:tcPr>
            <w:tcW w:w="554" w:type="pct"/>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质量指标</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培训参与度</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100%</w:t>
            </w:r>
          </w:p>
        </w:tc>
      </w:tr>
      <w:tr>
        <w:tblPrEx>
          <w:tblCellMar>
            <w:top w:w="27" w:type="dxa"/>
            <w:left w:w="107" w:type="dxa"/>
            <w:bottom w:w="0" w:type="dxa"/>
            <w:right w:w="8" w:type="dxa"/>
          </w:tblCellMar>
        </w:tblPrEx>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资金支出合规性</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100%</w:t>
            </w:r>
          </w:p>
        </w:tc>
      </w:tr>
      <w:tr>
        <w:tblPrEx>
          <w:tblCellMar>
            <w:top w:w="27" w:type="dxa"/>
            <w:left w:w="107" w:type="dxa"/>
            <w:bottom w:w="0" w:type="dxa"/>
            <w:right w:w="8" w:type="dxa"/>
          </w:tblCellMar>
        </w:tblPrEx>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时效指标</w:t>
            </w:r>
          </w:p>
        </w:tc>
        <w:tc>
          <w:tcPr>
            <w:tcW w:w="554" w:type="pct"/>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restart"/>
            <w:tcBorders>
              <w:top w:val="single" w:color="000000" w:sz="4" w:space="0"/>
              <w:left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时效指标</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报告编制时间</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2019年12月31日之前</w:t>
            </w:r>
          </w:p>
        </w:tc>
      </w:tr>
      <w:tr>
        <w:tblPrEx>
          <w:tblCellMar>
            <w:top w:w="27" w:type="dxa"/>
            <w:left w:w="107" w:type="dxa"/>
            <w:bottom w:w="0" w:type="dxa"/>
            <w:right w:w="8" w:type="dxa"/>
          </w:tblCellMar>
        </w:tblPrEx>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vMerge w:val="continue"/>
            <w:tcBorders>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培训时间</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2019年4月-12月</w:t>
            </w:r>
          </w:p>
        </w:tc>
      </w:tr>
      <w:tr>
        <w:tblPrEx>
          <w:tblCellMar>
            <w:top w:w="27" w:type="dxa"/>
            <w:left w:w="107" w:type="dxa"/>
            <w:bottom w:w="0" w:type="dxa"/>
            <w:right w:w="8" w:type="dxa"/>
          </w:tblCellMar>
        </w:tblPrEx>
        <w:trPr>
          <w:trHeight w:val="20" w:hRule="atLeast"/>
        </w:trPr>
        <w:tc>
          <w:tcPr>
            <w:tcW w:w="2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jc w:val="center"/>
              <w:rPr>
                <w:rFonts w:eastAsiaTheme="minorEastAsia"/>
                <w:sz w:val="18"/>
                <w:szCs w:val="18"/>
              </w:rPr>
            </w:pPr>
          </w:p>
        </w:tc>
        <w:tc>
          <w:tcPr>
            <w:tcW w:w="4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成本指标</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成本指标</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hint="eastAsia" w:eastAsiaTheme="minorEastAsia"/>
                <w:sz w:val="18"/>
                <w:szCs w:val="18"/>
              </w:rPr>
              <w:t>成本费用控制</w:t>
            </w:r>
          </w:p>
        </w:tc>
        <w:tc>
          <w:tcPr>
            <w:tcW w:w="106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tLeast"/>
              <w:rPr>
                <w:rFonts w:eastAsiaTheme="minorEastAsia"/>
                <w:sz w:val="18"/>
                <w:szCs w:val="18"/>
              </w:rPr>
            </w:pPr>
            <w:r>
              <w:rPr>
                <w:rFonts w:eastAsiaTheme="minorEastAsia"/>
                <w:sz w:val="18"/>
                <w:szCs w:val="18"/>
              </w:rPr>
              <w:t>——</w:t>
            </w:r>
          </w:p>
        </w:tc>
      </w:tr>
    </w:tbl>
    <w:p>
      <w:pPr>
        <w:pStyle w:val="12"/>
        <w:spacing w:line="600" w:lineRule="exact"/>
        <w:ind w:firstLine="640"/>
        <w:rPr>
          <w:rFonts w:ascii="Times New Roman" w:hAnsi="Times New Roman"/>
        </w:rPr>
      </w:pPr>
      <w:bookmarkStart w:id="81" w:name="_Toc21420313"/>
      <w:bookmarkStart w:id="82" w:name="_Toc50991687"/>
      <w:bookmarkStart w:id="83" w:name="_Toc54202987"/>
      <w:r>
        <w:rPr>
          <w:rFonts w:ascii="Times New Roman" w:hAnsi="Times New Roman"/>
        </w:rPr>
        <w:t>二、绩效评价工作</w:t>
      </w:r>
      <w:bookmarkEnd w:id="81"/>
      <w:r>
        <w:rPr>
          <w:rFonts w:ascii="Times New Roman" w:hAnsi="Times New Roman"/>
        </w:rPr>
        <w:t>开展情况</w:t>
      </w:r>
      <w:bookmarkEnd w:id="82"/>
      <w:bookmarkEnd w:id="83"/>
    </w:p>
    <w:p>
      <w:pPr>
        <w:spacing w:line="600" w:lineRule="exact"/>
        <w:ind w:firstLine="640" w:firstLineChars="200"/>
        <w:outlineLvl w:val="1"/>
        <w:rPr>
          <w:rFonts w:eastAsia="楷体_GB2312"/>
          <w:sz w:val="32"/>
          <w:szCs w:val="32"/>
        </w:rPr>
      </w:pPr>
      <w:bookmarkStart w:id="84" w:name="_Toc21420314"/>
      <w:bookmarkStart w:id="85" w:name="_Toc54202988"/>
      <w:bookmarkStart w:id="86" w:name="_Toc50991688"/>
      <w:r>
        <w:rPr>
          <w:rFonts w:eastAsia="楷体_GB2312"/>
          <w:sz w:val="32"/>
          <w:szCs w:val="32"/>
        </w:rPr>
        <w:t>（一）绩效评价目的</w:t>
      </w:r>
      <w:bookmarkEnd w:id="84"/>
      <w:r>
        <w:rPr>
          <w:rFonts w:eastAsia="楷体_GB2312"/>
          <w:sz w:val="32"/>
          <w:szCs w:val="32"/>
        </w:rPr>
        <w:t>、对象和范围</w:t>
      </w:r>
      <w:bookmarkEnd w:id="85"/>
      <w:bookmarkEnd w:id="86"/>
    </w:p>
    <w:p>
      <w:pPr>
        <w:spacing w:line="600" w:lineRule="exact"/>
        <w:ind w:firstLine="640" w:firstLineChars="200"/>
        <w:outlineLvl w:val="2"/>
        <w:rPr>
          <w:rFonts w:ascii="仿宋_GB2312" w:eastAsia="仿宋_GB2312"/>
          <w:sz w:val="32"/>
          <w:szCs w:val="32"/>
        </w:rPr>
      </w:pPr>
      <w:bookmarkStart w:id="87" w:name="_Toc50991689"/>
      <w:bookmarkStart w:id="88" w:name="_Toc53233045"/>
      <w:r>
        <w:rPr>
          <w:rFonts w:hint="eastAsia" w:ascii="仿宋_GB2312" w:eastAsia="仿宋_GB2312"/>
          <w:sz w:val="32"/>
          <w:szCs w:val="32"/>
        </w:rPr>
        <w:t>1.绩效评价目的</w:t>
      </w:r>
      <w:bookmarkEnd w:id="87"/>
      <w:bookmarkEnd w:id="88"/>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通过本次绩效评价，全面了解</w:t>
      </w:r>
      <w:r>
        <w:rPr>
          <w:rFonts w:hint="eastAsia" w:ascii="仿宋_GB2312" w:eastAsia="仿宋_GB2312"/>
          <w:sz w:val="32"/>
          <w:szCs w:val="32"/>
        </w:rPr>
        <w:t>汾渭平原铜川市大气污染防治“一市一策”跟踪研究项目</w:t>
      </w:r>
      <w:r>
        <w:rPr>
          <w:rFonts w:hint="eastAsia" w:ascii="仿宋_GB2312" w:eastAsia="仿宋_GB2312"/>
          <w:bCs/>
          <w:sz w:val="32"/>
          <w:szCs w:val="32"/>
        </w:rPr>
        <w:t>的项目设立、绩效目标设置、资金下达、项目实施和资金使用过程，查找其存在的不足，提出科学合理建议，</w:t>
      </w:r>
      <w:r>
        <w:rPr>
          <w:rFonts w:hint="eastAsia" w:ascii="仿宋_GB2312" w:eastAsia="仿宋_GB2312"/>
          <w:sz w:val="32"/>
          <w:szCs w:val="32"/>
        </w:rPr>
        <w:t>从而进一步加强和规范财政及资金使用部门的管理工作，合理配置公共资源，强化支出责任意识，进一步提高财政资金使用效益。</w:t>
      </w:r>
    </w:p>
    <w:p>
      <w:pPr>
        <w:spacing w:line="600" w:lineRule="exact"/>
        <w:ind w:firstLine="640" w:firstLineChars="200"/>
        <w:outlineLvl w:val="2"/>
        <w:rPr>
          <w:rFonts w:ascii="仿宋_GB2312" w:eastAsia="仿宋_GB2312"/>
          <w:sz w:val="32"/>
          <w:szCs w:val="32"/>
        </w:rPr>
      </w:pPr>
      <w:bookmarkStart w:id="89" w:name="_Toc53233046"/>
      <w:bookmarkStart w:id="90" w:name="_Toc50991690"/>
      <w:r>
        <w:rPr>
          <w:rFonts w:hint="eastAsia" w:ascii="仿宋_GB2312" w:eastAsia="仿宋_GB2312"/>
          <w:sz w:val="32"/>
          <w:szCs w:val="32"/>
        </w:rPr>
        <w:t>2.绩效评价对象</w:t>
      </w:r>
      <w:bookmarkEnd w:id="89"/>
      <w:bookmarkEnd w:id="90"/>
    </w:p>
    <w:p>
      <w:pPr>
        <w:spacing w:line="560" w:lineRule="exact"/>
        <w:ind w:firstLine="640" w:firstLineChars="200"/>
        <w:rPr>
          <w:rFonts w:ascii="仿宋_GB2312" w:eastAsia="仿宋_GB2312"/>
          <w:sz w:val="32"/>
          <w:szCs w:val="32"/>
        </w:rPr>
      </w:pPr>
      <w:bookmarkStart w:id="91" w:name="_Toc50989351"/>
      <w:bookmarkStart w:id="92" w:name="_Toc50991691"/>
      <w:bookmarkStart w:id="93" w:name="_Toc50989656"/>
      <w:bookmarkStart w:id="94" w:name="_Toc50990433"/>
      <w:r>
        <w:rPr>
          <w:rFonts w:hint="eastAsia" w:ascii="仿宋_GB2312" w:eastAsia="仿宋_GB2312"/>
          <w:sz w:val="32"/>
          <w:szCs w:val="32"/>
        </w:rPr>
        <w:t>本次绩效评价对象为铜川市生态环境局2019年汾渭平原铜川市大气污染防治“一市一策”跟踪研究项目支出。</w:t>
      </w:r>
      <w:bookmarkEnd w:id="91"/>
      <w:bookmarkEnd w:id="92"/>
      <w:bookmarkEnd w:id="93"/>
      <w:bookmarkEnd w:id="94"/>
    </w:p>
    <w:p>
      <w:pPr>
        <w:spacing w:line="600" w:lineRule="exact"/>
        <w:ind w:firstLine="640" w:firstLineChars="200"/>
        <w:outlineLvl w:val="2"/>
        <w:rPr>
          <w:rFonts w:ascii="仿宋_GB2312" w:eastAsia="仿宋_GB2312"/>
          <w:sz w:val="32"/>
          <w:szCs w:val="32"/>
        </w:rPr>
      </w:pPr>
      <w:bookmarkStart w:id="95" w:name="_Toc50989657"/>
      <w:bookmarkStart w:id="96" w:name="_Toc50991692"/>
      <w:bookmarkStart w:id="97" w:name="_Toc53233047"/>
      <w:r>
        <w:rPr>
          <w:rFonts w:hint="eastAsia" w:ascii="仿宋_GB2312" w:eastAsia="仿宋_GB2312"/>
          <w:sz w:val="32"/>
          <w:szCs w:val="32"/>
        </w:rPr>
        <w:t>3.绩效评价范围</w:t>
      </w:r>
      <w:bookmarkEnd w:id="95"/>
      <w:bookmarkEnd w:id="96"/>
      <w:bookmarkEnd w:id="97"/>
    </w:p>
    <w:p>
      <w:pPr>
        <w:spacing w:line="560" w:lineRule="exact"/>
        <w:ind w:firstLine="640" w:firstLineChars="200"/>
        <w:rPr>
          <w:rFonts w:ascii="仿宋_GB2312" w:eastAsia="仿宋_GB2312"/>
          <w:sz w:val="32"/>
          <w:szCs w:val="32"/>
        </w:rPr>
      </w:pPr>
      <w:bookmarkStart w:id="98" w:name="_Toc50990435"/>
      <w:bookmarkStart w:id="99" w:name="_Toc50991693"/>
      <w:bookmarkStart w:id="100" w:name="_Toc50989658"/>
      <w:r>
        <w:rPr>
          <w:rFonts w:hint="eastAsia" w:ascii="仿宋_GB2312" w:eastAsia="仿宋_GB2312"/>
          <w:sz w:val="32"/>
          <w:szCs w:val="32"/>
        </w:rPr>
        <w:t>本次绩效评价主要是从项目的立项、绩效目标设立、资金投入、资金管理、组织实施、目标的实现程度及实施效果</w:t>
      </w:r>
      <w:bookmarkEnd w:id="98"/>
      <w:bookmarkEnd w:id="99"/>
      <w:bookmarkEnd w:id="100"/>
      <w:r>
        <w:rPr>
          <w:rFonts w:hint="eastAsia" w:ascii="仿宋_GB2312" w:eastAsia="仿宋_GB2312"/>
          <w:sz w:val="32"/>
          <w:szCs w:val="32"/>
        </w:rPr>
        <w:t>等方面进行评价。</w:t>
      </w:r>
    </w:p>
    <w:p>
      <w:pPr>
        <w:spacing w:line="560" w:lineRule="exact"/>
        <w:ind w:firstLine="640"/>
        <w:outlineLvl w:val="1"/>
        <w:rPr>
          <w:rFonts w:eastAsia="楷体"/>
          <w:sz w:val="32"/>
          <w:szCs w:val="32"/>
        </w:rPr>
      </w:pPr>
      <w:bookmarkStart w:id="101" w:name="_Toc53330171"/>
      <w:bookmarkStart w:id="102" w:name="_Toc54202989"/>
      <w:bookmarkStart w:id="103" w:name="_Toc42691960"/>
      <w:bookmarkStart w:id="104" w:name="_Toc21708998"/>
      <w:r>
        <w:rPr>
          <w:rFonts w:hint="eastAsia" w:eastAsia="楷体"/>
          <w:sz w:val="32"/>
          <w:szCs w:val="32"/>
        </w:rPr>
        <w:t>（二）绩效评价指标设置原则</w:t>
      </w:r>
      <w:bookmarkEnd w:id="101"/>
      <w:bookmarkEnd w:id="102"/>
      <w:bookmarkEnd w:id="103"/>
      <w:bookmarkEnd w:id="104"/>
    </w:p>
    <w:p>
      <w:pPr>
        <w:spacing w:line="560" w:lineRule="exact"/>
        <w:ind w:firstLine="640"/>
        <w:outlineLvl w:val="2"/>
        <w:rPr>
          <w:rFonts w:eastAsia="仿宋_GB2312"/>
          <w:sz w:val="32"/>
          <w:szCs w:val="32"/>
        </w:rPr>
      </w:pPr>
      <w:r>
        <w:rPr>
          <w:rFonts w:hint="eastAsia" w:eastAsia="仿宋_GB2312"/>
          <w:sz w:val="32"/>
          <w:szCs w:val="32"/>
        </w:rPr>
        <w:t>1.相关性原则</w:t>
      </w:r>
    </w:p>
    <w:p>
      <w:pPr>
        <w:spacing w:line="560" w:lineRule="exact"/>
        <w:ind w:firstLine="640" w:firstLineChars="200"/>
        <w:rPr>
          <w:rFonts w:eastAsia="仿宋_GB2312"/>
          <w:sz w:val="32"/>
          <w:szCs w:val="32"/>
        </w:rPr>
      </w:pPr>
      <w:r>
        <w:rPr>
          <w:rFonts w:hint="eastAsia" w:eastAsia="仿宋_GB2312"/>
          <w:sz w:val="32"/>
          <w:szCs w:val="32"/>
        </w:rPr>
        <w:t>绩效评价指标设置应当与绩效目标有直接的联系，能够恰当反映目标的实现程度。</w:t>
      </w:r>
    </w:p>
    <w:p>
      <w:pPr>
        <w:spacing w:line="560" w:lineRule="exact"/>
        <w:ind w:firstLine="640"/>
        <w:outlineLvl w:val="2"/>
        <w:rPr>
          <w:rFonts w:eastAsia="仿宋_GB2312"/>
          <w:sz w:val="32"/>
          <w:szCs w:val="32"/>
        </w:rPr>
      </w:pPr>
      <w:r>
        <w:rPr>
          <w:rFonts w:hint="eastAsia" w:eastAsia="仿宋_GB2312"/>
          <w:sz w:val="32"/>
          <w:szCs w:val="32"/>
        </w:rPr>
        <w:t>2.重要性原则</w:t>
      </w:r>
    </w:p>
    <w:p>
      <w:pPr>
        <w:spacing w:line="560" w:lineRule="exact"/>
        <w:ind w:firstLine="640" w:firstLineChars="200"/>
        <w:rPr>
          <w:rFonts w:eastAsia="仿宋_GB2312"/>
          <w:sz w:val="32"/>
          <w:szCs w:val="32"/>
        </w:rPr>
      </w:pPr>
      <w:r>
        <w:rPr>
          <w:rFonts w:hint="eastAsia" w:eastAsia="仿宋_GB2312"/>
          <w:sz w:val="32"/>
          <w:szCs w:val="32"/>
        </w:rPr>
        <w:t>绩效评价指标设置应当根据评价的对象和内容优先使用最具代表性、最能反映评价要求的核心指标。</w:t>
      </w:r>
    </w:p>
    <w:p>
      <w:pPr>
        <w:spacing w:line="560" w:lineRule="exact"/>
        <w:ind w:firstLine="640"/>
        <w:outlineLvl w:val="2"/>
        <w:rPr>
          <w:rFonts w:eastAsia="仿宋_GB2312"/>
          <w:sz w:val="32"/>
          <w:szCs w:val="32"/>
        </w:rPr>
      </w:pPr>
      <w:r>
        <w:rPr>
          <w:rFonts w:hint="eastAsia" w:eastAsia="仿宋_GB2312"/>
          <w:sz w:val="32"/>
          <w:szCs w:val="32"/>
        </w:rPr>
        <w:t>3.可比性原则</w:t>
      </w:r>
    </w:p>
    <w:p>
      <w:pPr>
        <w:spacing w:line="560" w:lineRule="exact"/>
        <w:ind w:firstLine="640" w:firstLineChars="200"/>
        <w:rPr>
          <w:rFonts w:eastAsia="仿宋_GB2312"/>
          <w:sz w:val="32"/>
          <w:szCs w:val="32"/>
        </w:rPr>
      </w:pPr>
      <w:r>
        <w:rPr>
          <w:rFonts w:hint="eastAsia" w:eastAsia="仿宋_GB2312"/>
          <w:sz w:val="32"/>
          <w:szCs w:val="32"/>
        </w:rPr>
        <w:t>绩效评价指标设置应当对同类评价对象设定共性的绩效评价指标，以便于评价结果相互比较。</w:t>
      </w:r>
    </w:p>
    <w:p>
      <w:pPr>
        <w:spacing w:line="560" w:lineRule="exact"/>
        <w:ind w:firstLine="640"/>
        <w:outlineLvl w:val="2"/>
        <w:rPr>
          <w:rFonts w:eastAsia="仿宋_GB2312"/>
          <w:sz w:val="32"/>
          <w:szCs w:val="32"/>
        </w:rPr>
      </w:pPr>
      <w:r>
        <w:rPr>
          <w:rFonts w:hint="eastAsia" w:eastAsia="仿宋_GB2312"/>
          <w:sz w:val="32"/>
          <w:szCs w:val="32"/>
        </w:rPr>
        <w:t>4.系统性原则</w:t>
      </w:r>
    </w:p>
    <w:p>
      <w:pPr>
        <w:spacing w:line="560" w:lineRule="exact"/>
        <w:ind w:firstLine="640" w:firstLineChars="200"/>
        <w:rPr>
          <w:rFonts w:eastAsia="仿宋_GB2312"/>
          <w:sz w:val="32"/>
          <w:szCs w:val="32"/>
        </w:rPr>
      </w:pPr>
      <w:r>
        <w:rPr>
          <w:rFonts w:hint="eastAsia" w:eastAsia="仿宋_GB2312"/>
          <w:sz w:val="32"/>
          <w:szCs w:val="32"/>
        </w:rPr>
        <w:t>绩效评价指标设置应当将定量指标与定性指标相结合，系统反映项目所产生的项目效益和可持续影响等。</w:t>
      </w:r>
    </w:p>
    <w:p>
      <w:pPr>
        <w:spacing w:line="560" w:lineRule="exact"/>
        <w:ind w:firstLine="640"/>
        <w:outlineLvl w:val="2"/>
        <w:rPr>
          <w:rFonts w:eastAsia="仿宋_GB2312"/>
          <w:sz w:val="32"/>
          <w:szCs w:val="32"/>
        </w:rPr>
      </w:pPr>
      <w:r>
        <w:rPr>
          <w:rFonts w:hint="eastAsia" w:eastAsia="仿宋_GB2312"/>
          <w:sz w:val="32"/>
          <w:szCs w:val="32"/>
        </w:rPr>
        <w:t>5.经济性原则</w:t>
      </w:r>
    </w:p>
    <w:p>
      <w:pPr>
        <w:spacing w:line="560" w:lineRule="exact"/>
        <w:ind w:firstLine="640" w:firstLineChars="200"/>
        <w:rPr>
          <w:rFonts w:eastAsia="仿宋_GB2312"/>
          <w:sz w:val="32"/>
          <w:szCs w:val="32"/>
        </w:rPr>
      </w:pPr>
      <w:r>
        <w:rPr>
          <w:rFonts w:hint="eastAsia" w:eastAsia="仿宋_GB2312"/>
          <w:sz w:val="32"/>
          <w:szCs w:val="32"/>
        </w:rPr>
        <w:t>绩效评价指标设置应当通俗易懂、简便易行，数据的获得应当考虑现实条件和可操作性，符合成本效益原则。</w:t>
      </w:r>
    </w:p>
    <w:p>
      <w:pPr>
        <w:spacing w:line="560" w:lineRule="exact"/>
        <w:ind w:firstLine="640"/>
        <w:outlineLvl w:val="1"/>
        <w:rPr>
          <w:rFonts w:eastAsia="楷体"/>
          <w:sz w:val="32"/>
          <w:szCs w:val="32"/>
        </w:rPr>
      </w:pPr>
      <w:bookmarkStart w:id="105" w:name="_Toc54202990"/>
      <w:bookmarkStart w:id="106" w:name="_Toc53330172"/>
      <w:bookmarkStart w:id="107" w:name="_Toc21708999"/>
      <w:bookmarkStart w:id="108" w:name="_Toc42691961"/>
      <w:r>
        <w:rPr>
          <w:rFonts w:hint="eastAsia" w:eastAsia="楷体"/>
          <w:sz w:val="32"/>
          <w:szCs w:val="32"/>
        </w:rPr>
        <w:t>（三）评价指标体系</w:t>
      </w:r>
      <w:bookmarkEnd w:id="105"/>
      <w:bookmarkEnd w:id="106"/>
      <w:bookmarkEnd w:id="107"/>
      <w:bookmarkEnd w:id="108"/>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次绩效评价指标体系根据铜川市财政局《关于转发&lt;陕西省财政项目支出绩效评价管理办法&gt;的通知》（铜财预〔2020〕34号）文件要求，结合2019年度汾渭平原开铜川市大气污染防治“一市一策”研究项目的具体情况，对指标体系略作调整，具体指标体系见附件。</w:t>
      </w:r>
    </w:p>
    <w:p>
      <w:pPr>
        <w:spacing w:line="560" w:lineRule="exact"/>
        <w:ind w:firstLine="640"/>
        <w:outlineLvl w:val="1"/>
        <w:rPr>
          <w:rFonts w:eastAsia="楷体"/>
          <w:sz w:val="32"/>
          <w:szCs w:val="32"/>
        </w:rPr>
      </w:pPr>
      <w:bookmarkStart w:id="109" w:name="_Toc54202991"/>
      <w:r>
        <w:rPr>
          <w:rFonts w:hint="eastAsia" w:eastAsia="楷体"/>
          <w:sz w:val="32"/>
          <w:szCs w:val="32"/>
        </w:rPr>
        <w:t>（四）绩效评价方法</w:t>
      </w:r>
      <w:bookmarkEnd w:id="109"/>
    </w:p>
    <w:p>
      <w:pPr>
        <w:spacing w:line="560" w:lineRule="exact"/>
        <w:ind w:firstLine="640" w:firstLineChars="200"/>
        <w:rPr>
          <w:rFonts w:ascii="仿宋_GB2312" w:eastAsia="仿宋_GB2312"/>
          <w:sz w:val="32"/>
          <w:szCs w:val="32"/>
        </w:rPr>
      </w:pPr>
      <w:r>
        <w:rPr>
          <w:rFonts w:hint="eastAsia" w:ascii="仿宋_GB2312" w:eastAsia="仿宋_GB2312"/>
          <w:sz w:val="32"/>
          <w:szCs w:val="32"/>
        </w:rPr>
        <w:t>1.成本效益分析法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是指将投入与产出、效益进行关联性分析的方法。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2.比较法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是指将实施情况与绩效目标、历史情况、不同部门和地区同类支出情况进行比较的方法。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3.因素分析法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是指综合分析影响绩效目标实现、实施效果的内外部因素的方法。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4.公众评判法</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是指通过专家评估、公众问卷及抽样调查等方式进行评判的方法。</w:t>
      </w:r>
    </w:p>
    <w:p>
      <w:pPr>
        <w:spacing w:line="560" w:lineRule="exact"/>
        <w:ind w:firstLine="640"/>
        <w:outlineLvl w:val="1"/>
        <w:rPr>
          <w:rFonts w:ascii="楷体_GB2312" w:eastAsia="楷体_GB2312"/>
          <w:sz w:val="32"/>
          <w:szCs w:val="32"/>
        </w:rPr>
      </w:pPr>
      <w:bookmarkStart w:id="110" w:name="_Toc54202992"/>
      <w:bookmarkStart w:id="111" w:name="_Toc50991719"/>
      <w:r>
        <w:rPr>
          <w:rFonts w:hint="eastAsia" w:ascii="楷体_GB2312" w:eastAsia="楷体_GB2312"/>
          <w:sz w:val="32"/>
          <w:szCs w:val="32"/>
        </w:rPr>
        <w:t>（五）评价组织实施过程</w:t>
      </w:r>
      <w:bookmarkEnd w:id="110"/>
      <w:bookmarkEnd w:id="111"/>
    </w:p>
    <w:p>
      <w:pPr>
        <w:spacing w:line="560" w:lineRule="exact"/>
        <w:ind w:firstLine="640" w:firstLineChars="200"/>
        <w:rPr>
          <w:rFonts w:ascii="仿宋_GB2312" w:eastAsia="仿宋_GB2312"/>
          <w:bCs/>
          <w:sz w:val="32"/>
          <w:szCs w:val="32"/>
        </w:rPr>
      </w:pPr>
      <w:bookmarkStart w:id="112" w:name="_Toc50990462"/>
      <w:bookmarkStart w:id="113" w:name="_Toc50989682"/>
      <w:bookmarkStart w:id="114" w:name="_Toc50991720"/>
      <w:bookmarkStart w:id="115" w:name="_Toc12903_WPSOffice_Level3"/>
      <w:bookmarkStart w:id="116" w:name="_Toc1604_WPSOffice_Level3"/>
      <w:bookmarkStart w:id="117" w:name="_Toc11690"/>
      <w:r>
        <w:rPr>
          <w:rFonts w:hint="eastAsia" w:ascii="仿宋_GB2312" w:eastAsia="仿宋_GB2312"/>
          <w:bCs/>
          <w:sz w:val="32"/>
          <w:szCs w:val="32"/>
        </w:rPr>
        <w:t>为使绩效评价工作顺利开展，根据</w:t>
      </w:r>
      <w:r>
        <w:rPr>
          <w:rFonts w:hint="eastAsia" w:ascii="仿宋_GB2312" w:eastAsia="仿宋_GB2312"/>
          <w:sz w:val="32"/>
          <w:szCs w:val="32"/>
        </w:rPr>
        <w:t>铜川市财政局《关于转发&lt;陕西省财政项目支出绩效评价管理办法&gt;的通知》（铜财预〔2020〕34号）、《铜川市财政局关于开展市本级2019年度财政重点绩效评价的通知》（铜财预〔2020〕80号）</w:t>
      </w:r>
      <w:r>
        <w:rPr>
          <w:rFonts w:hint="eastAsia" w:ascii="仿宋_GB2312" w:eastAsia="仿宋_GB2312"/>
          <w:bCs/>
          <w:sz w:val="32"/>
          <w:szCs w:val="32"/>
        </w:rPr>
        <w:t>等文件要求，由铜川市预算评审中心牵头组织并全程参与，委托陕西公立会计师事务所有限责任公司对2019年度汾渭平原铜川市大气污染防治“一市一策”跟踪研究项目开展绩效评价工作，项目完成初步评价后，委托正衡房地产资产评估有限公司为绩效评价工作提供咨询服务，保障绩效评价报告质量。</w:t>
      </w:r>
      <w:bookmarkEnd w:id="112"/>
      <w:bookmarkEnd w:id="113"/>
      <w:bookmarkEnd w:id="114"/>
    </w:p>
    <w:p>
      <w:pPr>
        <w:spacing w:line="600" w:lineRule="exact"/>
        <w:ind w:firstLine="640" w:firstLineChars="200"/>
        <w:rPr>
          <w:rFonts w:ascii="仿宋_GB2312" w:eastAsia="仿宋_GB2312"/>
          <w:sz w:val="32"/>
          <w:szCs w:val="32"/>
        </w:rPr>
      </w:pPr>
      <w:bookmarkStart w:id="118" w:name="_Toc50991724"/>
      <w:r>
        <w:rPr>
          <w:rFonts w:hint="eastAsia" w:ascii="仿宋_GB2312" w:eastAsia="仿宋_GB2312"/>
          <w:sz w:val="32"/>
          <w:szCs w:val="32"/>
        </w:rPr>
        <w:t>1.下达绩效评价通知</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2020年7月22日，铜川市财政局下达了</w:t>
      </w:r>
      <w:r>
        <w:rPr>
          <w:rFonts w:hint="eastAsia" w:ascii="仿宋_GB2312" w:eastAsia="仿宋_GB2312"/>
          <w:sz w:val="32"/>
          <w:szCs w:val="32"/>
        </w:rPr>
        <w:t>《铜川市财政局关于开展市本级2019年度财政重点绩效评价的通知》（铜财预〔2020〕80号），项目绩效评价工作正式开展。</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2.绩效评价工作准备</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绩效评价组根据项目情况，拟定了项目资料清单，收集了与项目相关的基础资料；设计了绩效评价指标体系及评分标准、调查问卷；完成了与项目相关的其他准备工作。</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3.开展现场核查</w:t>
      </w:r>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绩效评价组通过资料检查、安排访谈、现场调研等方式，开展了绩效评价指标分析，对</w:t>
      </w:r>
      <w:r>
        <w:rPr>
          <w:rFonts w:hint="eastAsia" w:ascii="仿宋_GB2312" w:eastAsia="仿宋_GB2312"/>
          <w:sz w:val="32"/>
          <w:szCs w:val="32"/>
        </w:rPr>
        <w:t>项目绩效情况进行了客观、公正的评价，</w:t>
      </w:r>
      <w:r>
        <w:rPr>
          <w:rFonts w:hint="eastAsia" w:ascii="仿宋_GB2312" w:eastAsia="仿宋_GB2312"/>
          <w:bCs/>
          <w:sz w:val="32"/>
          <w:szCs w:val="32"/>
        </w:rPr>
        <w:t>形成了初步绩效评价结论。</w:t>
      </w:r>
    </w:p>
    <w:p>
      <w:pPr>
        <w:spacing w:line="600" w:lineRule="exact"/>
        <w:ind w:firstLine="640" w:firstLineChars="200"/>
        <w:outlineLvl w:val="2"/>
        <w:rPr>
          <w:rFonts w:ascii="仿宋_GB2312" w:eastAsia="仿宋_GB2312"/>
          <w:sz w:val="32"/>
          <w:szCs w:val="32"/>
        </w:rPr>
      </w:pPr>
      <w:bookmarkStart w:id="119" w:name="_Toc7485"/>
      <w:bookmarkStart w:id="120" w:name="_Toc19665"/>
      <w:r>
        <w:rPr>
          <w:rFonts w:hint="eastAsia" w:ascii="仿宋_GB2312" w:eastAsia="仿宋_GB2312"/>
          <w:sz w:val="32"/>
          <w:szCs w:val="32"/>
        </w:rPr>
        <w:t>4.资料信息汇总及</w:t>
      </w:r>
      <w:bookmarkEnd w:id="119"/>
      <w:r>
        <w:rPr>
          <w:rFonts w:hint="eastAsia" w:ascii="仿宋_GB2312" w:eastAsia="仿宋_GB2312"/>
          <w:sz w:val="32"/>
          <w:szCs w:val="32"/>
        </w:rPr>
        <w:t>项目评分</w:t>
      </w:r>
      <w:bookmarkEnd w:id="120"/>
    </w:p>
    <w:p>
      <w:pPr>
        <w:spacing w:line="600" w:lineRule="exact"/>
        <w:ind w:firstLine="640" w:firstLineChars="200"/>
        <w:rPr>
          <w:rFonts w:ascii="仿宋_GB2312" w:eastAsia="仿宋_GB2312"/>
          <w:sz w:val="32"/>
          <w:szCs w:val="32"/>
        </w:rPr>
      </w:pPr>
      <w:r>
        <w:rPr>
          <w:rFonts w:hint="eastAsia" w:ascii="仿宋_GB2312" w:eastAsia="仿宋_GB2312"/>
          <w:sz w:val="32"/>
          <w:szCs w:val="32"/>
        </w:rPr>
        <w:t>评价组按照资料清单，逐一分类核实资料的完整性、真实性，按照指标体系对项目资料进行梳理，以保证所收集资料真实反映项目实际情况，避免出现遗漏。评价机构与铜川市预算评审中心、铜川市财政局资环科三方共5人组成项目绩效评分小组，按照项目负责人评分占比40%、项目主要参与人员评分占比20%、项目成员评分占比10%、预算评审中心评分人员评分占比10%、财政局项目主管科室人员评分占比20%的评分规则进行评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5.撰写绩效评价报告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绩效评价组根据绩效评价指标分析，对指标分析数据进行了进一步的整理、提炼，撰写完成了项目绩效评价报告。出具的绩效评价报告通过评价机构内部审核，并且广泛听取各相关方反馈意见进行补充完善后，最终出具正式报告。</w:t>
      </w:r>
    </w:p>
    <w:bookmarkEnd w:id="115"/>
    <w:bookmarkEnd w:id="116"/>
    <w:bookmarkEnd w:id="117"/>
    <w:bookmarkEnd w:id="118"/>
    <w:p>
      <w:pPr>
        <w:pStyle w:val="12"/>
        <w:spacing w:line="600" w:lineRule="exact"/>
        <w:ind w:firstLine="640"/>
        <w:rPr>
          <w:rFonts w:ascii="Times New Roman" w:hAnsi="Times New Roman"/>
        </w:rPr>
      </w:pPr>
      <w:bookmarkStart w:id="121" w:name="_Toc50991734"/>
      <w:bookmarkStart w:id="122" w:name="_Toc54202993"/>
      <w:r>
        <w:rPr>
          <w:rFonts w:ascii="Times New Roman" w:hAnsi="Times New Roman"/>
        </w:rPr>
        <w:t>三、综合评价情况及评价结论</w:t>
      </w:r>
      <w:bookmarkEnd w:id="121"/>
      <w:bookmarkEnd w:id="122"/>
    </w:p>
    <w:p>
      <w:pPr>
        <w:spacing w:line="600" w:lineRule="exact"/>
        <w:ind w:firstLine="640" w:firstLineChars="200"/>
        <w:rPr>
          <w:rFonts w:ascii="仿宋_GB2312" w:eastAsia="仿宋_GB2312"/>
          <w:bCs/>
          <w:sz w:val="32"/>
          <w:szCs w:val="32"/>
        </w:rPr>
      </w:pPr>
      <w:bookmarkStart w:id="123" w:name="_Toc50991735"/>
      <w:bookmarkStart w:id="124" w:name="_Toc50989697"/>
      <w:bookmarkStart w:id="125" w:name="_Toc50990477"/>
      <w:r>
        <w:rPr>
          <w:rFonts w:hint="eastAsia" w:ascii="仿宋_GB2312" w:eastAsia="仿宋_GB2312"/>
          <w:bCs/>
          <w:sz w:val="32"/>
          <w:szCs w:val="32"/>
        </w:rPr>
        <w:t>绩效评价组按照</w:t>
      </w:r>
      <w:r>
        <w:rPr>
          <w:rFonts w:hint="eastAsia" w:ascii="仿宋_GB2312" w:eastAsia="仿宋_GB2312"/>
          <w:sz w:val="32"/>
          <w:szCs w:val="32"/>
        </w:rPr>
        <w:t>铜川市财政局关于转发《陕西省财政项目支出绩效评价管理办法》的通知（铜财预〔2020〕34号），根据项目实际情况，从决策、过程、产出、效益四个方面</w:t>
      </w:r>
      <w:r>
        <w:rPr>
          <w:rFonts w:hint="eastAsia" w:ascii="仿宋_GB2312" w:eastAsia="仿宋_GB2312"/>
          <w:bCs/>
          <w:sz w:val="32"/>
          <w:szCs w:val="32"/>
        </w:rPr>
        <w:t>对铜川市生态环境局2019年度汾渭平原铜川市大气污染防治“一市一策”跟踪研究项目开展了绩效评价工作。</w:t>
      </w:r>
    </w:p>
    <w:p>
      <w:pPr>
        <w:spacing w:line="600" w:lineRule="exact"/>
        <w:ind w:firstLine="640" w:firstLineChars="200"/>
        <w:rPr>
          <w:rFonts w:ascii="仿宋_GB2312" w:eastAsia="仿宋_GB2312"/>
          <w:sz w:val="32"/>
          <w:szCs w:val="32"/>
        </w:rPr>
      </w:pPr>
      <w:r>
        <w:rPr>
          <w:rFonts w:hint="eastAsia" w:ascii="仿宋_GB2312" w:eastAsia="仿宋_GB2312"/>
          <w:bCs/>
          <w:sz w:val="32"/>
          <w:szCs w:val="32"/>
        </w:rPr>
        <w:t>2019年度汾渭平原铜川市大气污染防治“一市一策”跟踪研究项目组按照项目实施方案中制定的各项课题时间进度安排表进行成果产出。主要成果包括：铜川市2018-2019年秋冬季节PM2.5精细化源解析报告、铜川市2019年高分辨率大气污染源排放清单等8项研究成果，开展相关培训5次覆盖全市所有区县，指导267家企业建立重污染天气应急预案，建立了重污染应急应对工作模式、专家联合会商机制，当年绩效目标已全部完成。</w:t>
      </w:r>
      <w:r>
        <w:rPr>
          <w:rFonts w:hint="eastAsia" w:ascii="仿宋_GB2312" w:eastAsia="仿宋_GB2312"/>
          <w:sz w:val="32"/>
          <w:szCs w:val="32"/>
        </w:rPr>
        <w:t>综合项目整体执行情况，项目</w:t>
      </w:r>
      <w:r>
        <w:rPr>
          <w:rFonts w:hint="eastAsia" w:ascii="仿宋_GB2312" w:eastAsia="仿宋_GB2312"/>
          <w:bCs/>
          <w:sz w:val="32"/>
          <w:szCs w:val="32"/>
        </w:rPr>
        <w:t>本次评价得分为“88.16”分，绩效评价结果为“良”</w:t>
      </w:r>
      <w:bookmarkEnd w:id="123"/>
      <w:bookmarkEnd w:id="124"/>
      <w:bookmarkEnd w:id="125"/>
      <w:r>
        <w:rPr>
          <w:rFonts w:hint="eastAsia" w:ascii="仿宋_GB2312" w:eastAsia="仿宋_GB2312"/>
          <w:bCs/>
          <w:sz w:val="32"/>
          <w:szCs w:val="32"/>
        </w:rPr>
        <w:t>，</w:t>
      </w:r>
      <w:r>
        <w:rPr>
          <w:rFonts w:hint="eastAsia" w:ascii="仿宋_GB2312" w:eastAsia="仿宋_GB2312"/>
          <w:sz w:val="32"/>
          <w:szCs w:val="32"/>
        </w:rPr>
        <w:t>绩效评价指标体系及打分表详见附件。</w:t>
      </w:r>
    </w:p>
    <w:p>
      <w:pPr>
        <w:pStyle w:val="12"/>
        <w:spacing w:line="600" w:lineRule="exact"/>
        <w:ind w:firstLine="640"/>
        <w:rPr>
          <w:rFonts w:ascii="Times New Roman" w:hAnsi="Times New Roman"/>
        </w:rPr>
      </w:pPr>
      <w:bookmarkStart w:id="126" w:name="_Toc54202994"/>
      <w:bookmarkStart w:id="127" w:name="_Toc50991737"/>
      <w:r>
        <w:rPr>
          <w:rFonts w:ascii="Times New Roman" w:hAnsi="Times New Roman"/>
        </w:rPr>
        <w:t>四、绩效评价指标分析</w:t>
      </w:r>
      <w:bookmarkEnd w:id="126"/>
      <w:bookmarkEnd w:id="127"/>
    </w:p>
    <w:p>
      <w:pPr>
        <w:spacing w:line="600" w:lineRule="exact"/>
        <w:ind w:firstLine="640" w:firstLineChars="200"/>
        <w:outlineLvl w:val="1"/>
        <w:rPr>
          <w:rFonts w:eastAsia="楷体_GB2312"/>
          <w:sz w:val="32"/>
          <w:szCs w:val="32"/>
        </w:rPr>
      </w:pPr>
      <w:bookmarkStart w:id="128" w:name="_Toc50991738"/>
      <w:bookmarkStart w:id="129" w:name="_Toc54202995"/>
      <w:r>
        <w:rPr>
          <w:rFonts w:eastAsia="楷体_GB2312"/>
          <w:sz w:val="32"/>
          <w:szCs w:val="32"/>
        </w:rPr>
        <w:t>（一）项目决策情况</w:t>
      </w:r>
      <w:bookmarkEnd w:id="128"/>
      <w:bookmarkEnd w:id="129"/>
    </w:p>
    <w:p>
      <w:pPr>
        <w:spacing w:line="600" w:lineRule="exact"/>
        <w:ind w:firstLine="640" w:firstLineChars="200"/>
        <w:outlineLvl w:val="2"/>
        <w:rPr>
          <w:rFonts w:ascii="仿宋_GB2312" w:eastAsia="仿宋_GB2312"/>
          <w:sz w:val="32"/>
          <w:szCs w:val="32"/>
        </w:rPr>
      </w:pPr>
      <w:bookmarkStart w:id="130" w:name="_Toc53233057"/>
      <w:bookmarkStart w:id="131" w:name="_Toc50991739"/>
      <w:r>
        <w:rPr>
          <w:rFonts w:hint="eastAsia" w:ascii="仿宋_GB2312" w:eastAsia="仿宋_GB2312"/>
          <w:sz w:val="32"/>
          <w:szCs w:val="32"/>
        </w:rPr>
        <w:t>1.项目立项</w:t>
      </w:r>
      <w:bookmarkEnd w:id="130"/>
      <w:bookmarkEnd w:id="131"/>
    </w:p>
    <w:p>
      <w:pPr>
        <w:spacing w:line="560" w:lineRule="exact"/>
        <w:ind w:firstLine="640" w:firstLineChars="200"/>
        <w:rPr>
          <w:rFonts w:ascii="仿宋_GB2312" w:eastAsia="仿宋_GB2312"/>
          <w:bCs/>
          <w:sz w:val="32"/>
          <w:szCs w:val="32"/>
        </w:rPr>
      </w:pPr>
      <w:bookmarkStart w:id="132" w:name="_Toc50990482"/>
      <w:bookmarkStart w:id="133" w:name="_Toc50989702"/>
      <w:bookmarkStart w:id="134" w:name="_Toc50991740"/>
      <w:r>
        <w:rPr>
          <w:rFonts w:hint="eastAsia" w:ascii="仿宋_GB2312" w:eastAsia="仿宋_GB2312"/>
          <w:bCs/>
          <w:sz w:val="32"/>
          <w:szCs w:val="32"/>
        </w:rPr>
        <w:t>（1）立项依据充分性</w:t>
      </w:r>
      <w:bookmarkEnd w:id="132"/>
      <w:bookmarkEnd w:id="133"/>
      <w:bookmarkEnd w:id="134"/>
    </w:p>
    <w:p>
      <w:pPr>
        <w:spacing w:line="560" w:lineRule="exact"/>
        <w:ind w:firstLine="640" w:firstLineChars="200"/>
        <w:rPr>
          <w:rFonts w:ascii="仿宋_GB2312" w:eastAsia="仿宋_GB2312"/>
          <w:bCs/>
          <w:sz w:val="32"/>
          <w:szCs w:val="32"/>
        </w:rPr>
      </w:pPr>
      <w:bookmarkStart w:id="135" w:name="_Toc50991741"/>
      <w:bookmarkStart w:id="136" w:name="_Toc50989703"/>
      <w:bookmarkStart w:id="137" w:name="_Toc50990483"/>
      <w:r>
        <w:rPr>
          <w:rFonts w:hint="eastAsia" w:ascii="仿宋_GB2312" w:eastAsia="仿宋_GB2312"/>
          <w:bCs/>
          <w:sz w:val="32"/>
          <w:szCs w:val="32"/>
        </w:rPr>
        <w:t>2017年10月，党的十九大报告中提出了“坚持全民共治、源头防治，持续实施大气污染防治行动，打赢蓝天保卫战。”，对大气污染防治工作提出了更高的要求。为全面贯彻落实“十九大”报告提出的“打赢蓝天保卫战”的要求，进一步推进大气重污染成因与治理攻关工作，2018年5月11日，生态环境部在北京召开汾渭平原11城市大气污染防治“一市一策”跟踪研究工作座谈会，会议要求，汾渭平原11城市借鉴京津冀“2+26”城市应用经验，组建“国家队+地方队”的专家跟踪研究团队，建立“一市一策”跟踪研究机制，进行长期驻点研究和技术指导。本项目立项符合国家法律法规、国民经济发展规划和相关政策，符合行业发展规划和政策要求，与部门职责范围相符，属于部门履职所需，项目属于公共财政支持范围，本项目未与相关部门同类项目或部门内部相关项目重复</w:t>
      </w:r>
      <w:bookmarkEnd w:id="135"/>
      <w:bookmarkEnd w:id="136"/>
      <w:bookmarkEnd w:id="137"/>
      <w:r>
        <w:rPr>
          <w:rFonts w:hint="eastAsia" w:ascii="仿宋_GB2312" w:eastAsia="仿宋_GB2312"/>
          <w:bCs/>
          <w:sz w:val="32"/>
          <w:szCs w:val="32"/>
        </w:rPr>
        <w:t>。项目立项依据充分。</w:t>
      </w:r>
    </w:p>
    <w:p>
      <w:pPr>
        <w:spacing w:line="560" w:lineRule="exact"/>
        <w:ind w:firstLine="640" w:firstLineChars="200"/>
        <w:rPr>
          <w:rFonts w:ascii="仿宋_GB2312" w:eastAsia="仿宋_GB2312"/>
          <w:bCs/>
          <w:sz w:val="32"/>
          <w:szCs w:val="32"/>
        </w:rPr>
      </w:pPr>
      <w:bookmarkStart w:id="138" w:name="_Toc50991742"/>
      <w:bookmarkStart w:id="139" w:name="_Toc50990484"/>
      <w:r>
        <w:rPr>
          <w:rFonts w:hint="eastAsia" w:ascii="仿宋_GB2312" w:eastAsia="仿宋_GB2312"/>
          <w:bCs/>
          <w:sz w:val="32"/>
          <w:szCs w:val="32"/>
        </w:rPr>
        <w:t>（2）立项程序规范性</w:t>
      </w:r>
      <w:bookmarkEnd w:id="138"/>
      <w:bookmarkEnd w:id="139"/>
    </w:p>
    <w:p>
      <w:pPr>
        <w:spacing w:line="560" w:lineRule="exact"/>
        <w:ind w:firstLine="640" w:firstLineChars="200"/>
        <w:rPr>
          <w:rFonts w:ascii="仿宋_GB2312" w:eastAsia="仿宋_GB2312"/>
          <w:bCs/>
          <w:sz w:val="32"/>
          <w:szCs w:val="32"/>
        </w:rPr>
      </w:pPr>
      <w:bookmarkStart w:id="140" w:name="_Toc50991743"/>
      <w:bookmarkStart w:id="141" w:name="_Toc50990485"/>
      <w:bookmarkStart w:id="142" w:name="_Toc50989705"/>
      <w:r>
        <w:rPr>
          <w:rFonts w:hint="eastAsia" w:ascii="仿宋_GB2312" w:eastAsia="仿宋_GB2312"/>
          <w:bCs/>
          <w:sz w:val="32"/>
          <w:szCs w:val="32"/>
        </w:rPr>
        <w:t>本项目经生态环境部《关于在汾渭平原开展大气污染防治“一市一策”驻点跟踪研究工作的通知》（环科技函〔2018〕71号）下达工作安排后，由大气重污染成因与治理攻关项目管理办公室、陕西省生态环境厅、国家大气污染防治公关联合中心、中国科学院地球环境研究所与铜川市人民政府等相关各方共同签署了《铜川市大气污染防治“一市一策”跟踪研究任务书》，确定了项目具体任务，并通过《铜川市大气污染防治“一市一策”跟踪研究实施方案》，明确了项目工作内容、工作方式、最终工作成果的内容及完成的时间节点等内容，完成了项目立项工作。</w:t>
      </w:r>
      <w:bookmarkEnd w:id="140"/>
      <w:bookmarkEnd w:id="141"/>
      <w:bookmarkEnd w:id="142"/>
      <w:r>
        <w:rPr>
          <w:rFonts w:hint="eastAsia" w:ascii="仿宋_GB2312" w:eastAsia="仿宋_GB2312"/>
          <w:bCs/>
          <w:sz w:val="32"/>
          <w:szCs w:val="32"/>
        </w:rPr>
        <w:t>项目立项符合规范性要求。</w:t>
      </w:r>
    </w:p>
    <w:p>
      <w:pPr>
        <w:spacing w:line="600" w:lineRule="exact"/>
        <w:ind w:firstLine="640" w:firstLineChars="200"/>
        <w:outlineLvl w:val="2"/>
        <w:rPr>
          <w:rFonts w:ascii="仿宋_GB2312" w:eastAsia="仿宋_GB2312"/>
          <w:sz w:val="32"/>
          <w:szCs w:val="32"/>
        </w:rPr>
      </w:pPr>
      <w:bookmarkStart w:id="143" w:name="_Toc53233058"/>
      <w:bookmarkStart w:id="144" w:name="_Toc50991744"/>
      <w:r>
        <w:rPr>
          <w:rFonts w:hint="eastAsia" w:ascii="仿宋_GB2312" w:eastAsia="仿宋_GB2312"/>
          <w:sz w:val="32"/>
          <w:szCs w:val="32"/>
        </w:rPr>
        <w:t>2.绩效目标</w:t>
      </w:r>
      <w:bookmarkEnd w:id="143"/>
      <w:bookmarkEnd w:id="144"/>
    </w:p>
    <w:p>
      <w:pPr>
        <w:spacing w:line="560" w:lineRule="exact"/>
        <w:ind w:firstLine="640" w:firstLineChars="200"/>
        <w:rPr>
          <w:rFonts w:ascii="仿宋_GB2312" w:eastAsia="仿宋_GB2312"/>
          <w:bCs/>
          <w:sz w:val="32"/>
          <w:szCs w:val="32"/>
        </w:rPr>
      </w:pPr>
      <w:bookmarkStart w:id="145" w:name="_Toc50989707"/>
      <w:bookmarkStart w:id="146" w:name="_Toc50990487"/>
      <w:bookmarkStart w:id="147" w:name="_Toc50991745"/>
      <w:r>
        <w:rPr>
          <w:rFonts w:hint="eastAsia" w:ascii="仿宋_GB2312" w:eastAsia="仿宋_GB2312"/>
          <w:bCs/>
          <w:sz w:val="32"/>
          <w:szCs w:val="32"/>
        </w:rPr>
        <w:t>（1）绩效目标合理性</w:t>
      </w:r>
      <w:bookmarkEnd w:id="145"/>
      <w:bookmarkEnd w:id="146"/>
      <w:bookmarkEnd w:id="147"/>
    </w:p>
    <w:p>
      <w:pPr>
        <w:spacing w:line="560" w:lineRule="exact"/>
        <w:ind w:firstLine="640" w:firstLineChars="200"/>
        <w:rPr>
          <w:rFonts w:ascii="仿宋_GB2312" w:eastAsia="仿宋_GB2312"/>
          <w:bCs/>
          <w:sz w:val="32"/>
          <w:szCs w:val="32"/>
        </w:rPr>
      </w:pPr>
      <w:bookmarkStart w:id="148" w:name="_Toc50991746"/>
      <w:bookmarkStart w:id="149" w:name="_Toc50990488"/>
      <w:bookmarkStart w:id="150" w:name="_Toc50989708"/>
      <w:r>
        <w:rPr>
          <w:rFonts w:hint="eastAsia" w:ascii="仿宋_GB2312" w:eastAsia="仿宋_GB2312"/>
          <w:bCs/>
          <w:sz w:val="32"/>
          <w:szCs w:val="32"/>
        </w:rPr>
        <w:t>项目实施单位已于2019年年初申报了项目绩效目标，绩效目标与实际内容具有相关性，项目数量指标、质量指标、时效指标符合正常的业绩水平，但</w:t>
      </w:r>
      <w:bookmarkEnd w:id="148"/>
      <w:bookmarkEnd w:id="149"/>
      <w:bookmarkEnd w:id="150"/>
      <w:r>
        <w:rPr>
          <w:rFonts w:hint="eastAsia" w:ascii="仿宋_GB2312" w:eastAsia="仿宋_GB2312"/>
          <w:bCs/>
          <w:sz w:val="32"/>
          <w:szCs w:val="32"/>
        </w:rPr>
        <w:t>年度目标设置过于简单，未设置成本指标值，未设置效益指标。</w:t>
      </w:r>
    </w:p>
    <w:p>
      <w:pPr>
        <w:spacing w:line="560" w:lineRule="exact"/>
        <w:ind w:firstLine="640" w:firstLineChars="200"/>
        <w:rPr>
          <w:rFonts w:ascii="仿宋_GB2312" w:eastAsia="仿宋_GB2312"/>
          <w:bCs/>
          <w:sz w:val="32"/>
          <w:szCs w:val="32"/>
        </w:rPr>
      </w:pPr>
      <w:bookmarkStart w:id="151" w:name="_Toc50991747"/>
      <w:bookmarkStart w:id="152" w:name="_Toc50989709"/>
      <w:bookmarkStart w:id="153" w:name="_Toc50990489"/>
      <w:r>
        <w:rPr>
          <w:rFonts w:hint="eastAsia" w:ascii="仿宋_GB2312" w:eastAsia="仿宋_GB2312"/>
          <w:bCs/>
          <w:sz w:val="32"/>
          <w:szCs w:val="32"/>
        </w:rPr>
        <w:t>（2）绩效指标明确性</w:t>
      </w:r>
      <w:bookmarkEnd w:id="151"/>
      <w:bookmarkEnd w:id="152"/>
      <w:bookmarkEnd w:id="153"/>
    </w:p>
    <w:p>
      <w:pPr>
        <w:spacing w:line="560" w:lineRule="exact"/>
        <w:ind w:firstLine="640" w:firstLineChars="200"/>
        <w:rPr>
          <w:rFonts w:ascii="仿宋_GB2312" w:eastAsia="仿宋_GB2312"/>
          <w:bCs/>
          <w:sz w:val="32"/>
          <w:szCs w:val="32"/>
        </w:rPr>
      </w:pPr>
      <w:bookmarkStart w:id="154" w:name="_Toc50989710"/>
      <w:bookmarkStart w:id="155" w:name="_Toc50991748"/>
      <w:bookmarkStart w:id="156" w:name="_Toc50990490"/>
      <w:r>
        <w:rPr>
          <w:rFonts w:hint="eastAsia" w:ascii="仿宋_GB2312" w:eastAsia="仿宋_GB2312"/>
          <w:bCs/>
          <w:sz w:val="32"/>
          <w:szCs w:val="32"/>
        </w:rPr>
        <w:t>项目年初绩效目标已将项目目标分解为具体的绩效评价指标，与年初目标数相对应，但指标内容过于简单、粗略，未将各项产出指标清晰的列明，仅以“污染源解析、分析报告份数”、“专家团人数”等过于笼统的内容作为绩效指标，指标设置不具体、不清晰，难以有效衡量，质量指标仅设置培训参与度=100%、资金支出合规性=100%，不能清晰反映项目要达到的标准、水平，无法有效的考核项目实际的产出情况。</w:t>
      </w:r>
    </w:p>
    <w:bookmarkEnd w:id="154"/>
    <w:bookmarkEnd w:id="155"/>
    <w:bookmarkEnd w:id="156"/>
    <w:p>
      <w:pPr>
        <w:spacing w:line="600" w:lineRule="exact"/>
        <w:ind w:firstLine="640" w:firstLineChars="200"/>
        <w:outlineLvl w:val="2"/>
        <w:rPr>
          <w:rFonts w:ascii="仿宋_GB2312" w:eastAsia="仿宋_GB2312"/>
          <w:sz w:val="32"/>
          <w:szCs w:val="32"/>
        </w:rPr>
      </w:pPr>
      <w:bookmarkStart w:id="157" w:name="_Toc53233059"/>
      <w:bookmarkStart w:id="158" w:name="_Toc50991749"/>
      <w:r>
        <w:rPr>
          <w:rFonts w:hint="eastAsia" w:ascii="仿宋_GB2312" w:eastAsia="仿宋_GB2312"/>
          <w:sz w:val="32"/>
          <w:szCs w:val="32"/>
        </w:rPr>
        <w:t>3.资金投入</w:t>
      </w:r>
      <w:bookmarkEnd w:id="157"/>
      <w:bookmarkEnd w:id="158"/>
    </w:p>
    <w:p>
      <w:pPr>
        <w:spacing w:line="560" w:lineRule="exact"/>
        <w:ind w:firstLine="640" w:firstLineChars="200"/>
        <w:rPr>
          <w:rFonts w:ascii="仿宋_GB2312" w:eastAsia="仿宋_GB2312"/>
          <w:bCs/>
          <w:sz w:val="32"/>
          <w:szCs w:val="32"/>
        </w:rPr>
      </w:pPr>
      <w:bookmarkStart w:id="159" w:name="_Toc50990492"/>
      <w:bookmarkStart w:id="160" w:name="_Toc50989712"/>
      <w:bookmarkStart w:id="161" w:name="_Toc50991750"/>
      <w:r>
        <w:rPr>
          <w:rFonts w:hint="eastAsia" w:ascii="仿宋_GB2312" w:eastAsia="仿宋_GB2312"/>
          <w:bCs/>
          <w:sz w:val="32"/>
          <w:szCs w:val="32"/>
        </w:rPr>
        <w:t>（1）预算编制科学性</w:t>
      </w:r>
      <w:bookmarkEnd w:id="159"/>
      <w:bookmarkEnd w:id="160"/>
      <w:bookmarkEnd w:id="161"/>
    </w:p>
    <w:p>
      <w:pPr>
        <w:spacing w:line="560" w:lineRule="exact"/>
        <w:ind w:firstLine="640" w:firstLineChars="200"/>
        <w:rPr>
          <w:rFonts w:ascii="仿宋_GB2312" w:eastAsia="仿宋_GB2312"/>
          <w:bCs/>
          <w:sz w:val="32"/>
          <w:szCs w:val="32"/>
        </w:rPr>
      </w:pPr>
      <w:bookmarkStart w:id="162" w:name="_Toc50990493"/>
      <w:bookmarkStart w:id="163" w:name="_Toc50991751"/>
      <w:bookmarkStart w:id="164" w:name="_Toc50989713"/>
      <w:r>
        <w:rPr>
          <w:rFonts w:hint="eastAsia" w:ascii="仿宋_GB2312" w:eastAsia="仿宋_GB2312"/>
          <w:bCs/>
          <w:sz w:val="32"/>
          <w:szCs w:val="32"/>
        </w:rPr>
        <w:t>根据项目合同，2019年度应支付合同款520万元，其中合同签订时应支付260万元，剩余260万元在2019年9月30日时根据完成工作量的考核结果进行支付，但铜川市生态环境局2019年仅申请项目预算资金200万元，项目主管部门未参照项目合同书中已确认的款项计划拨付进度对年初预算资金进行合理编制，导致年初编制的预算资金不能与工作任务相匹配。</w:t>
      </w:r>
      <w:bookmarkEnd w:id="162"/>
      <w:bookmarkEnd w:id="163"/>
      <w:bookmarkEnd w:id="164"/>
    </w:p>
    <w:p>
      <w:pPr>
        <w:spacing w:line="560" w:lineRule="exact"/>
        <w:ind w:firstLine="640" w:firstLineChars="200"/>
        <w:rPr>
          <w:rFonts w:ascii="仿宋_GB2312" w:eastAsia="仿宋_GB2312"/>
          <w:bCs/>
          <w:sz w:val="32"/>
          <w:szCs w:val="32"/>
        </w:rPr>
      </w:pPr>
      <w:bookmarkStart w:id="165" w:name="_Toc50990494"/>
      <w:bookmarkStart w:id="166" w:name="_Toc50989714"/>
      <w:bookmarkStart w:id="167" w:name="_Toc50991752"/>
      <w:r>
        <w:rPr>
          <w:rFonts w:hint="eastAsia" w:ascii="仿宋_GB2312" w:eastAsia="仿宋_GB2312"/>
          <w:bCs/>
          <w:sz w:val="32"/>
          <w:szCs w:val="32"/>
        </w:rPr>
        <w:t>（2）资金分配合理性</w:t>
      </w:r>
      <w:bookmarkEnd w:id="165"/>
      <w:bookmarkEnd w:id="166"/>
      <w:bookmarkEnd w:id="167"/>
    </w:p>
    <w:p>
      <w:pPr>
        <w:spacing w:line="560" w:lineRule="exact"/>
        <w:ind w:firstLine="640" w:firstLineChars="200"/>
        <w:rPr>
          <w:rFonts w:ascii="仿宋_GB2312" w:eastAsia="仿宋_GB2312"/>
          <w:bCs/>
          <w:sz w:val="32"/>
          <w:szCs w:val="32"/>
        </w:rPr>
      </w:pPr>
      <w:bookmarkStart w:id="168" w:name="_Toc50990495"/>
      <w:bookmarkStart w:id="169" w:name="_Toc50991753"/>
      <w:bookmarkStart w:id="170" w:name="_Toc50989715"/>
      <w:r>
        <w:rPr>
          <w:rFonts w:hint="eastAsia" w:ascii="仿宋_GB2312" w:eastAsia="仿宋_GB2312"/>
          <w:bCs/>
          <w:sz w:val="32"/>
          <w:szCs w:val="32"/>
        </w:rPr>
        <w:t>本项目资金由项目实施单位根据项目实际工作开展全额用于支付合同款项，资金分配与合同签订一致，资金分配合理。</w:t>
      </w:r>
      <w:bookmarkEnd w:id="168"/>
      <w:bookmarkEnd w:id="169"/>
      <w:bookmarkEnd w:id="170"/>
    </w:p>
    <w:p>
      <w:pPr>
        <w:spacing w:line="600" w:lineRule="exact"/>
        <w:ind w:firstLine="640" w:firstLineChars="200"/>
        <w:outlineLvl w:val="1"/>
        <w:rPr>
          <w:rFonts w:ascii="楷体_GB2312" w:eastAsia="楷体_GB2312"/>
          <w:sz w:val="32"/>
          <w:szCs w:val="32"/>
        </w:rPr>
      </w:pPr>
      <w:bookmarkStart w:id="171" w:name="_Toc54202996"/>
      <w:bookmarkStart w:id="172" w:name="_Toc50991754"/>
      <w:r>
        <w:rPr>
          <w:rFonts w:hint="eastAsia" w:ascii="楷体_GB2312" w:eastAsia="楷体_GB2312"/>
          <w:sz w:val="32"/>
          <w:szCs w:val="32"/>
        </w:rPr>
        <w:t>（二）项目过程情况</w:t>
      </w:r>
      <w:bookmarkEnd w:id="171"/>
      <w:bookmarkEnd w:id="172"/>
    </w:p>
    <w:p>
      <w:pPr>
        <w:spacing w:line="600" w:lineRule="exact"/>
        <w:ind w:firstLine="640" w:firstLineChars="200"/>
        <w:outlineLvl w:val="2"/>
        <w:rPr>
          <w:rFonts w:ascii="仿宋_GB2312" w:eastAsia="仿宋_GB2312"/>
          <w:sz w:val="32"/>
          <w:szCs w:val="32"/>
        </w:rPr>
      </w:pPr>
      <w:bookmarkStart w:id="173" w:name="_Toc50991755"/>
      <w:bookmarkStart w:id="174" w:name="_Toc53233061"/>
      <w:r>
        <w:rPr>
          <w:rFonts w:hint="eastAsia" w:ascii="仿宋_GB2312" w:eastAsia="仿宋_GB2312"/>
          <w:sz w:val="32"/>
          <w:szCs w:val="32"/>
        </w:rPr>
        <w:t>1.资金管理</w:t>
      </w:r>
      <w:bookmarkEnd w:id="173"/>
      <w:bookmarkEnd w:id="174"/>
      <w:bookmarkStart w:id="175" w:name="_Hlk50799972"/>
    </w:p>
    <w:bookmarkEnd w:id="175"/>
    <w:p>
      <w:pPr>
        <w:spacing w:line="560" w:lineRule="exact"/>
        <w:ind w:firstLine="640" w:firstLineChars="200"/>
        <w:rPr>
          <w:rFonts w:ascii="仿宋_GB2312" w:eastAsia="仿宋_GB2312"/>
          <w:bCs/>
          <w:sz w:val="32"/>
          <w:szCs w:val="32"/>
        </w:rPr>
      </w:pPr>
      <w:bookmarkStart w:id="176" w:name="_Toc50989718"/>
      <w:bookmarkStart w:id="177" w:name="_Toc50991756"/>
      <w:bookmarkStart w:id="178" w:name="_Toc50990498"/>
      <w:r>
        <w:rPr>
          <w:rFonts w:hint="eastAsia" w:ascii="仿宋_GB2312" w:eastAsia="仿宋_GB2312"/>
          <w:bCs/>
          <w:sz w:val="32"/>
          <w:szCs w:val="32"/>
        </w:rPr>
        <w:t>（1）资金到位率</w:t>
      </w:r>
      <w:bookmarkEnd w:id="176"/>
      <w:bookmarkEnd w:id="177"/>
      <w:bookmarkEnd w:id="178"/>
    </w:p>
    <w:p>
      <w:pPr>
        <w:spacing w:line="560" w:lineRule="exact"/>
        <w:ind w:firstLine="640" w:firstLineChars="200"/>
        <w:rPr>
          <w:rFonts w:ascii="仿宋_GB2312" w:eastAsia="仿宋_GB2312"/>
          <w:bCs/>
          <w:sz w:val="32"/>
          <w:szCs w:val="32"/>
        </w:rPr>
      </w:pPr>
      <w:bookmarkStart w:id="179" w:name="_Toc50990499"/>
      <w:bookmarkStart w:id="180" w:name="_Toc50991757"/>
      <w:bookmarkStart w:id="181" w:name="_Toc50989719"/>
      <w:r>
        <w:rPr>
          <w:rFonts w:hint="eastAsia" w:ascii="仿宋_GB2312" w:eastAsia="仿宋_GB2312"/>
          <w:bCs/>
          <w:sz w:val="32"/>
          <w:szCs w:val="32"/>
        </w:rPr>
        <w:t>铜川市财政局通过《关于落实过“紧日子”要求调减压缩2019年市级部门支出预算的通知》（铜财预〔2019〕52号）批复了项目预算资金180万元，项目应到位资金180万元，实际到位资金180万元，资金到位率100%。</w:t>
      </w:r>
      <w:bookmarkEnd w:id="179"/>
      <w:bookmarkEnd w:id="180"/>
      <w:bookmarkEnd w:id="181"/>
    </w:p>
    <w:p>
      <w:pPr>
        <w:spacing w:line="560" w:lineRule="exact"/>
        <w:ind w:firstLine="640" w:firstLineChars="200"/>
        <w:rPr>
          <w:rFonts w:ascii="仿宋_GB2312" w:eastAsia="仿宋_GB2312"/>
          <w:bCs/>
          <w:sz w:val="32"/>
          <w:szCs w:val="32"/>
        </w:rPr>
      </w:pPr>
      <w:bookmarkStart w:id="182" w:name="_Toc50990500"/>
      <w:bookmarkStart w:id="183" w:name="_Toc50989720"/>
      <w:bookmarkStart w:id="184" w:name="_Toc50991758"/>
      <w:r>
        <w:rPr>
          <w:rFonts w:hint="eastAsia" w:ascii="仿宋_GB2312" w:eastAsia="仿宋_GB2312"/>
          <w:bCs/>
          <w:sz w:val="32"/>
          <w:szCs w:val="32"/>
        </w:rPr>
        <w:t>（2）预算执行率</w:t>
      </w:r>
      <w:bookmarkEnd w:id="182"/>
      <w:bookmarkEnd w:id="183"/>
      <w:bookmarkEnd w:id="184"/>
    </w:p>
    <w:p>
      <w:pPr>
        <w:spacing w:line="560" w:lineRule="exact"/>
        <w:ind w:firstLine="640" w:firstLineChars="200"/>
        <w:rPr>
          <w:rFonts w:ascii="仿宋_GB2312" w:eastAsia="仿宋_GB2312"/>
          <w:bCs/>
          <w:sz w:val="32"/>
          <w:szCs w:val="32"/>
        </w:rPr>
      </w:pPr>
      <w:bookmarkStart w:id="185" w:name="_Toc50991759"/>
      <w:bookmarkStart w:id="186" w:name="_Toc50989721"/>
      <w:bookmarkStart w:id="187" w:name="_Toc50990501"/>
      <w:r>
        <w:rPr>
          <w:rFonts w:hint="eastAsia" w:ascii="仿宋_GB2312" w:eastAsia="仿宋_GB2312"/>
          <w:bCs/>
          <w:sz w:val="32"/>
          <w:szCs w:val="32"/>
        </w:rPr>
        <w:t>项目2019年实际支出资金300万元，其中包括：2019年度汾渭平原铜川市大气污染防治“一市一策”跟踪研究项目预算资金180万元，剩余120万元在空气质量预报体系能力建设信息发布项目中列支，预算执行率100%。</w:t>
      </w:r>
      <w:bookmarkEnd w:id="185"/>
      <w:bookmarkEnd w:id="186"/>
      <w:bookmarkEnd w:id="187"/>
    </w:p>
    <w:p>
      <w:pPr>
        <w:spacing w:line="560" w:lineRule="exact"/>
        <w:ind w:firstLine="640" w:firstLineChars="200"/>
        <w:rPr>
          <w:rFonts w:ascii="仿宋_GB2312" w:eastAsia="仿宋_GB2312"/>
          <w:bCs/>
          <w:sz w:val="32"/>
          <w:szCs w:val="32"/>
        </w:rPr>
      </w:pPr>
      <w:bookmarkStart w:id="188" w:name="_Toc50991762"/>
      <w:bookmarkStart w:id="189" w:name="_Toc50989724"/>
      <w:bookmarkStart w:id="190" w:name="_Toc50990504"/>
      <w:r>
        <w:rPr>
          <w:rFonts w:hint="eastAsia" w:ascii="仿宋_GB2312" w:eastAsia="仿宋_GB2312"/>
          <w:bCs/>
          <w:sz w:val="32"/>
          <w:szCs w:val="32"/>
        </w:rPr>
        <w:t>（3）资金使用合规性</w:t>
      </w:r>
      <w:bookmarkEnd w:id="188"/>
      <w:bookmarkEnd w:id="189"/>
      <w:bookmarkEnd w:id="190"/>
    </w:p>
    <w:p>
      <w:pPr>
        <w:spacing w:line="560" w:lineRule="exact"/>
        <w:ind w:firstLine="640" w:firstLineChars="200"/>
        <w:rPr>
          <w:rFonts w:ascii="仿宋_GB2312" w:eastAsia="仿宋_GB2312"/>
          <w:bCs/>
          <w:sz w:val="32"/>
          <w:szCs w:val="32"/>
        </w:rPr>
      </w:pPr>
      <w:bookmarkStart w:id="191" w:name="_Toc50989725"/>
      <w:bookmarkStart w:id="192" w:name="_Toc50991763"/>
      <w:bookmarkStart w:id="193" w:name="_Toc50990505"/>
      <w:r>
        <w:rPr>
          <w:rFonts w:hint="eastAsia" w:ascii="仿宋_GB2312" w:eastAsia="仿宋_GB2312"/>
          <w:bCs/>
          <w:sz w:val="32"/>
          <w:szCs w:val="32"/>
        </w:rPr>
        <w:t>根据查看支付凭证、合同签订等资料，未发现项目资金使用存在违反国家财经法规和财务管理制度以及铜川市有关专项资金管理办法的情况，未发现项目资金存在截留、挤占、挪用、虚列支出的情况，但存在120.00万元在空气质量预报体系能力建设信息发布项目中列支的情况，未见审批程序或手续。</w:t>
      </w:r>
      <w:bookmarkEnd w:id="191"/>
      <w:bookmarkEnd w:id="192"/>
      <w:bookmarkEnd w:id="193"/>
    </w:p>
    <w:p>
      <w:pPr>
        <w:spacing w:line="600" w:lineRule="exact"/>
        <w:ind w:firstLine="640" w:firstLineChars="200"/>
        <w:outlineLvl w:val="2"/>
        <w:rPr>
          <w:rFonts w:ascii="仿宋_GB2312" w:eastAsia="仿宋_GB2312"/>
          <w:sz w:val="32"/>
          <w:szCs w:val="32"/>
        </w:rPr>
      </w:pPr>
      <w:bookmarkStart w:id="194" w:name="_Toc50991764"/>
      <w:bookmarkStart w:id="195" w:name="_Toc53233062"/>
      <w:r>
        <w:rPr>
          <w:rFonts w:hint="eastAsia" w:ascii="仿宋_GB2312" w:eastAsia="仿宋_GB2312"/>
          <w:sz w:val="32"/>
          <w:szCs w:val="32"/>
        </w:rPr>
        <w:t>2.组织实施</w:t>
      </w:r>
      <w:bookmarkEnd w:id="194"/>
      <w:bookmarkEnd w:id="195"/>
    </w:p>
    <w:p>
      <w:pPr>
        <w:spacing w:line="560" w:lineRule="exact"/>
        <w:ind w:firstLine="640" w:firstLineChars="200"/>
        <w:rPr>
          <w:rFonts w:ascii="仿宋_GB2312" w:eastAsia="仿宋_GB2312"/>
          <w:bCs/>
          <w:sz w:val="32"/>
          <w:szCs w:val="32"/>
        </w:rPr>
      </w:pPr>
      <w:bookmarkStart w:id="196" w:name="_Toc50990507"/>
      <w:bookmarkStart w:id="197" w:name="_Toc50991765"/>
      <w:bookmarkStart w:id="198" w:name="_Toc50989727"/>
      <w:r>
        <w:rPr>
          <w:rFonts w:hint="eastAsia" w:ascii="仿宋_GB2312" w:eastAsia="仿宋_GB2312"/>
          <w:bCs/>
          <w:sz w:val="32"/>
          <w:szCs w:val="32"/>
        </w:rPr>
        <w:t>（1）管理制度健全性</w:t>
      </w:r>
      <w:bookmarkEnd w:id="196"/>
      <w:bookmarkEnd w:id="197"/>
      <w:bookmarkEnd w:id="198"/>
    </w:p>
    <w:p>
      <w:pPr>
        <w:spacing w:line="560" w:lineRule="exact"/>
        <w:ind w:firstLine="640" w:firstLineChars="200"/>
        <w:rPr>
          <w:rFonts w:ascii="仿宋_GB2312" w:eastAsia="仿宋_GB2312"/>
          <w:bCs/>
          <w:sz w:val="32"/>
          <w:szCs w:val="32"/>
        </w:rPr>
      </w:pPr>
      <w:bookmarkStart w:id="199" w:name="_Toc50991766"/>
      <w:bookmarkStart w:id="200" w:name="_Toc50989728"/>
      <w:bookmarkStart w:id="201" w:name="_Toc50990508"/>
      <w:r>
        <w:rPr>
          <w:rFonts w:hint="eastAsia" w:ascii="仿宋_GB2312" w:eastAsia="仿宋_GB2312"/>
          <w:bCs/>
          <w:sz w:val="32"/>
          <w:szCs w:val="32"/>
        </w:rPr>
        <w:t>项目实施单位未针对本项目制定专门的财务管理制度，项目资金管理及使用按照铜川市生态环境局《财务联签会审制度》、《财务管理制度》等制度进行管理，该制度内容合法、合规、内容完整。</w:t>
      </w:r>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项目实施单位未制定业务管理相关规定</w:t>
      </w:r>
      <w:bookmarkEnd w:id="199"/>
      <w:bookmarkEnd w:id="200"/>
      <w:bookmarkEnd w:id="201"/>
      <w:r>
        <w:rPr>
          <w:rFonts w:hint="eastAsia" w:ascii="仿宋_GB2312" w:eastAsia="仿宋_GB2312"/>
          <w:bCs/>
          <w:sz w:val="32"/>
          <w:szCs w:val="32"/>
        </w:rPr>
        <w:t>，对业务开展、项目管理等方面未出台具体要求或办法。</w:t>
      </w:r>
    </w:p>
    <w:p>
      <w:pPr>
        <w:spacing w:line="560" w:lineRule="exact"/>
        <w:ind w:firstLine="640" w:firstLineChars="200"/>
        <w:rPr>
          <w:rFonts w:ascii="仿宋_GB2312" w:eastAsia="仿宋_GB2312"/>
          <w:bCs/>
          <w:sz w:val="32"/>
          <w:szCs w:val="32"/>
        </w:rPr>
      </w:pPr>
      <w:bookmarkStart w:id="202" w:name="_Toc50990509"/>
      <w:bookmarkStart w:id="203" w:name="_Toc50991767"/>
      <w:bookmarkStart w:id="204" w:name="_Toc50989729"/>
      <w:r>
        <w:rPr>
          <w:rFonts w:hint="eastAsia" w:ascii="仿宋_GB2312" w:eastAsia="仿宋_GB2312"/>
          <w:bCs/>
          <w:sz w:val="32"/>
          <w:szCs w:val="32"/>
        </w:rPr>
        <w:t>（2）制度执行有效性</w:t>
      </w:r>
      <w:bookmarkEnd w:id="202"/>
      <w:bookmarkEnd w:id="203"/>
      <w:bookmarkEnd w:id="204"/>
    </w:p>
    <w:p>
      <w:pPr>
        <w:spacing w:line="560" w:lineRule="exact"/>
        <w:ind w:firstLine="640" w:firstLineChars="200"/>
        <w:rPr>
          <w:rFonts w:ascii="仿宋_GB2312" w:eastAsia="仿宋_GB2312"/>
          <w:bCs/>
          <w:sz w:val="32"/>
          <w:szCs w:val="32"/>
        </w:rPr>
      </w:pPr>
      <w:bookmarkStart w:id="205" w:name="_Toc50989730"/>
      <w:bookmarkStart w:id="206" w:name="_Toc50991768"/>
      <w:bookmarkStart w:id="207" w:name="_Toc50990510"/>
      <w:r>
        <w:rPr>
          <w:rFonts w:hint="eastAsia" w:ascii="仿宋_GB2312" w:eastAsia="仿宋_GB2312"/>
          <w:bCs/>
          <w:sz w:val="32"/>
          <w:szCs w:val="32"/>
        </w:rPr>
        <w:t>项目实施符合相关法律法规和业务管理规定，</w:t>
      </w:r>
      <w:bookmarkEnd w:id="205"/>
      <w:bookmarkEnd w:id="206"/>
      <w:bookmarkEnd w:id="207"/>
      <w:r>
        <w:rPr>
          <w:rFonts w:hint="eastAsia" w:ascii="仿宋_GB2312" w:eastAsia="仿宋_GB2312"/>
          <w:bCs/>
          <w:sz w:val="32"/>
          <w:szCs w:val="32"/>
        </w:rPr>
        <w:t>项目实施符合相关法律法规、铜川市生态环境局财务管理相关制度、《汾渭平原铜川市大气污染防治“一市一策”跟踪研究任务书》等，通过现场调研，项目资料齐全且全部归档，项目管理参照《汾渭平原铜川市大气污染防治“一市一策”跟踪研究任务书》，人员条件及场地等设施符合要求。</w:t>
      </w:r>
    </w:p>
    <w:p>
      <w:pPr>
        <w:spacing w:line="560" w:lineRule="exact"/>
        <w:ind w:firstLine="640" w:firstLineChars="200"/>
        <w:rPr>
          <w:rFonts w:ascii="仿宋_GB2312" w:eastAsia="仿宋_GB2312"/>
          <w:bCs/>
          <w:sz w:val="32"/>
          <w:szCs w:val="32"/>
        </w:rPr>
      </w:pPr>
      <w:bookmarkStart w:id="208" w:name="_Toc50989731"/>
      <w:bookmarkStart w:id="209" w:name="_Toc50991769"/>
      <w:bookmarkStart w:id="210" w:name="_Toc50990511"/>
      <w:r>
        <w:rPr>
          <w:rFonts w:hint="eastAsia" w:ascii="仿宋_GB2312" w:eastAsia="仿宋_GB2312"/>
          <w:bCs/>
          <w:sz w:val="32"/>
          <w:szCs w:val="32"/>
        </w:rPr>
        <w:t>（3）项目质量可控性</w:t>
      </w:r>
      <w:bookmarkEnd w:id="208"/>
      <w:bookmarkEnd w:id="209"/>
      <w:bookmarkEnd w:id="210"/>
    </w:p>
    <w:p>
      <w:pPr>
        <w:spacing w:line="560" w:lineRule="exact"/>
        <w:ind w:firstLine="640" w:firstLineChars="200"/>
        <w:rPr>
          <w:rFonts w:ascii="仿宋_GB2312" w:eastAsia="仿宋_GB2312"/>
          <w:bCs/>
          <w:sz w:val="32"/>
          <w:szCs w:val="32"/>
        </w:rPr>
      </w:pPr>
      <w:bookmarkStart w:id="211" w:name="_Toc50989732"/>
      <w:bookmarkStart w:id="212" w:name="_Toc50991770"/>
      <w:bookmarkStart w:id="213" w:name="_Toc50990512"/>
      <w:r>
        <w:rPr>
          <w:rFonts w:hint="eastAsia" w:ascii="仿宋_GB2312" w:eastAsia="仿宋_GB2312"/>
          <w:bCs/>
          <w:sz w:val="32"/>
          <w:szCs w:val="32"/>
        </w:rPr>
        <w:t>《汾渭平原铜川市大气污染防治“一市一策”跟踪研究任务书》中已经明确了项目的质量要求，仅有上级部门对项目研究组的工作考核，生态环境局自身未对项目进行阶段性考核。项目进度款支付前亦未进行当年的项目阶段成果验收。</w:t>
      </w:r>
      <w:bookmarkEnd w:id="211"/>
      <w:bookmarkEnd w:id="212"/>
      <w:bookmarkEnd w:id="213"/>
    </w:p>
    <w:p>
      <w:pPr>
        <w:spacing w:line="600" w:lineRule="exact"/>
        <w:ind w:firstLine="640" w:firstLineChars="200"/>
        <w:outlineLvl w:val="2"/>
        <w:rPr>
          <w:rFonts w:ascii="仿宋_GB2312" w:eastAsia="仿宋_GB2312"/>
          <w:sz w:val="32"/>
          <w:szCs w:val="32"/>
        </w:rPr>
      </w:pPr>
      <w:bookmarkStart w:id="214" w:name="_Toc50991771"/>
      <w:bookmarkStart w:id="215" w:name="_Toc53233063"/>
      <w:r>
        <w:rPr>
          <w:rFonts w:hint="eastAsia" w:ascii="仿宋_GB2312" w:eastAsia="仿宋_GB2312"/>
          <w:sz w:val="32"/>
          <w:szCs w:val="32"/>
        </w:rPr>
        <w:t>3.运行监控有效性</w:t>
      </w:r>
      <w:bookmarkEnd w:id="214"/>
      <w:bookmarkEnd w:id="215"/>
    </w:p>
    <w:p>
      <w:pPr>
        <w:spacing w:line="560" w:lineRule="exact"/>
        <w:ind w:firstLine="640" w:firstLineChars="200"/>
        <w:rPr>
          <w:rFonts w:ascii="仿宋_GB2312" w:eastAsia="仿宋_GB2312"/>
          <w:bCs/>
          <w:sz w:val="32"/>
          <w:szCs w:val="32"/>
        </w:rPr>
      </w:pPr>
      <w:bookmarkStart w:id="216" w:name="_Toc50991772"/>
      <w:bookmarkStart w:id="217" w:name="_Toc50989734"/>
      <w:bookmarkStart w:id="218" w:name="_Toc50990514"/>
      <w:r>
        <w:rPr>
          <w:rFonts w:hint="eastAsia" w:ascii="仿宋_GB2312" w:eastAsia="仿宋_GB2312"/>
          <w:bCs/>
          <w:sz w:val="32"/>
          <w:szCs w:val="32"/>
        </w:rPr>
        <w:t>项目实施单位未按要求开展自行绩效运行监控工作</w:t>
      </w:r>
      <w:bookmarkEnd w:id="216"/>
      <w:bookmarkEnd w:id="217"/>
      <w:bookmarkEnd w:id="218"/>
      <w:r>
        <w:rPr>
          <w:rFonts w:hint="eastAsia" w:ascii="仿宋_GB2312" w:eastAsia="仿宋_GB2312"/>
          <w:bCs/>
          <w:sz w:val="32"/>
          <w:szCs w:val="32"/>
        </w:rPr>
        <w:t>；未按时报送绩效运行监控季报和监控报告。</w:t>
      </w:r>
    </w:p>
    <w:p>
      <w:pPr>
        <w:spacing w:line="600" w:lineRule="exact"/>
        <w:ind w:firstLine="640" w:firstLineChars="200"/>
        <w:outlineLvl w:val="1"/>
        <w:rPr>
          <w:rFonts w:eastAsia="楷体_GB2312"/>
          <w:sz w:val="32"/>
          <w:szCs w:val="32"/>
        </w:rPr>
      </w:pPr>
      <w:bookmarkStart w:id="219" w:name="_Toc54202997"/>
      <w:bookmarkStart w:id="220" w:name="_Toc50991773"/>
      <w:r>
        <w:rPr>
          <w:rFonts w:eastAsia="楷体_GB2312"/>
          <w:sz w:val="32"/>
          <w:szCs w:val="32"/>
        </w:rPr>
        <w:t>（三）项目产出情况</w:t>
      </w:r>
      <w:bookmarkEnd w:id="219"/>
      <w:bookmarkEnd w:id="220"/>
    </w:p>
    <w:p>
      <w:pPr>
        <w:spacing w:line="600" w:lineRule="exact"/>
        <w:ind w:firstLine="640" w:firstLineChars="200"/>
        <w:outlineLvl w:val="2"/>
        <w:rPr>
          <w:rFonts w:ascii="仿宋_GB2312" w:eastAsia="仿宋_GB2312"/>
          <w:sz w:val="32"/>
          <w:szCs w:val="32"/>
        </w:rPr>
      </w:pPr>
      <w:bookmarkStart w:id="221" w:name="_Toc53233065"/>
      <w:bookmarkStart w:id="222" w:name="_Toc50991774"/>
      <w:r>
        <w:rPr>
          <w:rFonts w:hint="eastAsia" w:ascii="仿宋_GB2312" w:eastAsia="仿宋_GB2312"/>
          <w:sz w:val="32"/>
          <w:szCs w:val="32"/>
        </w:rPr>
        <w:t>1.产出数量</w:t>
      </w:r>
      <w:bookmarkEnd w:id="221"/>
      <w:bookmarkEnd w:id="222"/>
    </w:p>
    <w:p>
      <w:pPr>
        <w:spacing w:line="560" w:lineRule="exact"/>
        <w:ind w:firstLine="640" w:firstLineChars="200"/>
        <w:rPr>
          <w:rFonts w:ascii="仿宋_GB2312" w:eastAsia="仿宋_GB2312"/>
          <w:bCs/>
          <w:sz w:val="32"/>
          <w:szCs w:val="32"/>
        </w:rPr>
      </w:pPr>
      <w:bookmarkStart w:id="223" w:name="_Toc50991775"/>
      <w:bookmarkStart w:id="224" w:name="_Toc50990517"/>
      <w:bookmarkStart w:id="225" w:name="_Toc50989737"/>
      <w:r>
        <w:rPr>
          <w:rFonts w:hint="eastAsia" w:ascii="仿宋_GB2312" w:eastAsia="仿宋_GB2312"/>
          <w:bCs/>
          <w:sz w:val="32"/>
          <w:szCs w:val="32"/>
        </w:rPr>
        <w:t>（1）铜川市2018-2019年秋冬季大气颗粒物分布特征与来源解析报告编制完成度。研究项目组已完成了2018-2019年秋冬解析报告编制工作，实际完成度100%；</w:t>
      </w:r>
      <w:bookmarkEnd w:id="223"/>
      <w:bookmarkEnd w:id="224"/>
      <w:bookmarkEnd w:id="225"/>
    </w:p>
    <w:p>
      <w:pPr>
        <w:spacing w:line="560" w:lineRule="exact"/>
        <w:ind w:firstLine="640" w:firstLineChars="200"/>
        <w:rPr>
          <w:rFonts w:ascii="仿宋_GB2312" w:eastAsia="仿宋_GB2312"/>
          <w:bCs/>
          <w:sz w:val="32"/>
          <w:szCs w:val="32"/>
        </w:rPr>
      </w:pPr>
      <w:bookmarkStart w:id="226" w:name="_Toc50989738"/>
      <w:bookmarkStart w:id="227" w:name="_Toc50990518"/>
      <w:bookmarkStart w:id="228" w:name="_Toc50991776"/>
      <w:r>
        <w:rPr>
          <w:rFonts w:hint="eastAsia" w:ascii="仿宋_GB2312" w:eastAsia="仿宋_GB2312"/>
          <w:bCs/>
          <w:sz w:val="32"/>
          <w:szCs w:val="32"/>
        </w:rPr>
        <w:t>（2）铜川市2019年高分辨率大气污染源排放清单编制完成度。项目组已完成了2019污染源排放清单编制工作，实际完成度100%；</w:t>
      </w:r>
      <w:bookmarkEnd w:id="226"/>
      <w:bookmarkEnd w:id="227"/>
      <w:bookmarkEnd w:id="228"/>
    </w:p>
    <w:p>
      <w:pPr>
        <w:spacing w:line="560" w:lineRule="exact"/>
        <w:ind w:firstLine="640" w:firstLineChars="200"/>
        <w:rPr>
          <w:rFonts w:ascii="仿宋_GB2312" w:eastAsia="仿宋_GB2312"/>
          <w:bCs/>
          <w:sz w:val="32"/>
          <w:szCs w:val="32"/>
        </w:rPr>
      </w:pPr>
      <w:bookmarkStart w:id="229" w:name="_Toc50989739"/>
      <w:bookmarkStart w:id="230" w:name="_Toc50990519"/>
      <w:bookmarkStart w:id="231" w:name="_Toc50991777"/>
      <w:r>
        <w:rPr>
          <w:rFonts w:hint="eastAsia" w:ascii="仿宋_GB2312" w:eastAsia="仿宋_GB2312"/>
          <w:bCs/>
          <w:sz w:val="32"/>
          <w:szCs w:val="32"/>
        </w:rPr>
        <w:t>（3）地方研究人员培训次数。研究项目组已组织了培训活动5次，提供3场培训会相关照片，年度指标已完成；</w:t>
      </w:r>
      <w:bookmarkEnd w:id="229"/>
      <w:bookmarkEnd w:id="230"/>
      <w:bookmarkEnd w:id="231"/>
    </w:p>
    <w:p>
      <w:pPr>
        <w:spacing w:line="560" w:lineRule="exact"/>
        <w:ind w:firstLine="640" w:firstLineChars="200"/>
        <w:rPr>
          <w:rFonts w:ascii="仿宋_GB2312" w:eastAsia="仿宋_GB2312"/>
          <w:bCs/>
          <w:sz w:val="32"/>
          <w:szCs w:val="32"/>
        </w:rPr>
      </w:pPr>
      <w:bookmarkStart w:id="232" w:name="_Toc50989740"/>
      <w:bookmarkStart w:id="233" w:name="_Toc50991778"/>
      <w:bookmarkStart w:id="234" w:name="_Toc50990520"/>
      <w:r>
        <w:rPr>
          <w:rFonts w:hint="eastAsia" w:ascii="仿宋_GB2312" w:eastAsia="仿宋_GB2312"/>
          <w:bCs/>
          <w:sz w:val="32"/>
          <w:szCs w:val="32"/>
        </w:rPr>
        <w:t>（4）重污染天气发生气象背景分析报告编制完成度。研究项目组已完成了重污染天气发生气象背景分析报告编制工作，实际完成度100%；</w:t>
      </w:r>
      <w:bookmarkEnd w:id="232"/>
      <w:bookmarkEnd w:id="233"/>
      <w:bookmarkEnd w:id="234"/>
    </w:p>
    <w:p>
      <w:pPr>
        <w:spacing w:line="560" w:lineRule="exact"/>
        <w:ind w:firstLine="640" w:firstLineChars="200"/>
        <w:rPr>
          <w:rFonts w:ascii="仿宋_GB2312" w:eastAsia="仿宋_GB2312"/>
          <w:bCs/>
          <w:sz w:val="32"/>
          <w:szCs w:val="32"/>
        </w:rPr>
      </w:pPr>
      <w:bookmarkStart w:id="235" w:name="_Toc50991779"/>
      <w:bookmarkStart w:id="236" w:name="_Toc50989741"/>
      <w:bookmarkStart w:id="237" w:name="_Toc50990521"/>
      <w:r>
        <w:rPr>
          <w:rFonts w:hint="eastAsia" w:ascii="仿宋_GB2312" w:eastAsia="仿宋_GB2312"/>
          <w:bCs/>
          <w:sz w:val="32"/>
          <w:szCs w:val="32"/>
        </w:rPr>
        <w:t>（5）铜川市重污染天气应急预案编制完成度。研究项目组已完成了铜川市重污染天气应急预案编制工作，实际完成度100%；</w:t>
      </w:r>
      <w:bookmarkEnd w:id="235"/>
      <w:bookmarkEnd w:id="236"/>
      <w:bookmarkEnd w:id="237"/>
    </w:p>
    <w:p>
      <w:pPr>
        <w:spacing w:line="560" w:lineRule="exact"/>
        <w:ind w:firstLine="640" w:firstLineChars="200"/>
        <w:rPr>
          <w:rFonts w:ascii="仿宋_GB2312" w:eastAsia="仿宋_GB2312"/>
          <w:bCs/>
          <w:sz w:val="32"/>
          <w:szCs w:val="32"/>
        </w:rPr>
      </w:pPr>
      <w:bookmarkStart w:id="238" w:name="_Toc50989742"/>
      <w:bookmarkStart w:id="239" w:name="_Toc50990522"/>
      <w:bookmarkStart w:id="240" w:name="_Toc50991780"/>
      <w:r>
        <w:rPr>
          <w:rFonts w:hint="eastAsia" w:ascii="仿宋_GB2312" w:eastAsia="仿宋_GB2312"/>
          <w:bCs/>
          <w:sz w:val="32"/>
          <w:szCs w:val="32"/>
        </w:rPr>
        <w:t>（6）重点涉气企业实际调研数。研究项目组制定调研方案中计划抽查废气排放量大的25家企业进行实地调研，2019年污染物排放清单中25家企业相关的信息及污染物排放量等都编制在内，调研工作已完成到位；</w:t>
      </w:r>
      <w:bookmarkEnd w:id="238"/>
      <w:bookmarkEnd w:id="239"/>
      <w:bookmarkEnd w:id="240"/>
    </w:p>
    <w:p>
      <w:pPr>
        <w:spacing w:line="560" w:lineRule="exact"/>
        <w:ind w:firstLine="640" w:firstLineChars="200"/>
        <w:rPr>
          <w:rFonts w:ascii="仿宋_GB2312" w:eastAsia="仿宋_GB2312"/>
          <w:bCs/>
          <w:sz w:val="32"/>
          <w:szCs w:val="32"/>
        </w:rPr>
      </w:pPr>
      <w:bookmarkStart w:id="241" w:name="_Toc50989743"/>
      <w:bookmarkStart w:id="242" w:name="_Toc50991781"/>
      <w:bookmarkStart w:id="243" w:name="_Toc50990523"/>
      <w:r>
        <w:rPr>
          <w:rFonts w:hint="eastAsia" w:ascii="仿宋_GB2312" w:eastAsia="仿宋_GB2312"/>
          <w:bCs/>
          <w:sz w:val="32"/>
          <w:szCs w:val="32"/>
        </w:rPr>
        <w:t>（7）环境空气质量预警预报完成率。研究项目组已按时出具2019年全年铜川市空气质量日报、周报、月报，铜川市生态环保局官网铜川市空气质量实时发布系统每小时都在不停更新，包括首要污染物、对健康的影响、建议采取的措施以及预警等级等信息，完成率100%；</w:t>
      </w:r>
      <w:bookmarkEnd w:id="241"/>
      <w:bookmarkEnd w:id="242"/>
      <w:bookmarkEnd w:id="243"/>
    </w:p>
    <w:p>
      <w:pPr>
        <w:spacing w:line="560" w:lineRule="exact"/>
        <w:ind w:firstLine="640" w:firstLineChars="200"/>
        <w:rPr>
          <w:rFonts w:ascii="仿宋_GB2312" w:eastAsia="仿宋_GB2312"/>
          <w:bCs/>
          <w:sz w:val="32"/>
          <w:szCs w:val="32"/>
        </w:rPr>
      </w:pPr>
      <w:bookmarkStart w:id="244" w:name="_Toc50989744"/>
      <w:bookmarkStart w:id="245" w:name="_Toc50991782"/>
      <w:bookmarkStart w:id="246" w:name="_Toc50990524"/>
      <w:r>
        <w:rPr>
          <w:rFonts w:hint="eastAsia" w:ascii="仿宋_GB2312" w:eastAsia="仿宋_GB2312"/>
          <w:bCs/>
          <w:sz w:val="32"/>
          <w:szCs w:val="32"/>
        </w:rPr>
        <w:t>（8）铜川市典型重污染过程分析与评估报告编制完成度。研究项目组已完成了铜川市典型重污染过程分析与评估报告编制工作，实际完成度100%；</w:t>
      </w:r>
      <w:bookmarkEnd w:id="244"/>
      <w:bookmarkEnd w:id="245"/>
      <w:bookmarkEnd w:id="246"/>
    </w:p>
    <w:p>
      <w:pPr>
        <w:spacing w:line="560" w:lineRule="exact"/>
        <w:ind w:firstLine="640" w:firstLineChars="200"/>
        <w:rPr>
          <w:rFonts w:ascii="仿宋_GB2312" w:eastAsia="仿宋_GB2312"/>
          <w:bCs/>
          <w:sz w:val="32"/>
          <w:szCs w:val="32"/>
        </w:rPr>
      </w:pPr>
      <w:bookmarkStart w:id="247" w:name="_Toc50989745"/>
      <w:bookmarkStart w:id="248" w:name="_Toc50991783"/>
      <w:bookmarkStart w:id="249" w:name="_Toc50990525"/>
      <w:r>
        <w:rPr>
          <w:rFonts w:hint="eastAsia" w:ascii="仿宋_GB2312" w:eastAsia="仿宋_GB2312"/>
          <w:bCs/>
          <w:sz w:val="32"/>
          <w:szCs w:val="32"/>
        </w:rPr>
        <w:t>（9）针对重点排污企业的“一企一策”减排方案完成度。研究项目组已完成了重点排污企业的“一企一策”减排方案编制工作，实际完成度100%；</w:t>
      </w:r>
      <w:bookmarkEnd w:id="247"/>
      <w:bookmarkEnd w:id="248"/>
      <w:bookmarkEnd w:id="249"/>
    </w:p>
    <w:p>
      <w:pPr>
        <w:spacing w:line="560" w:lineRule="exact"/>
        <w:ind w:firstLine="640" w:firstLineChars="200"/>
        <w:rPr>
          <w:rFonts w:ascii="仿宋_GB2312" w:eastAsia="仿宋_GB2312"/>
          <w:bCs/>
          <w:sz w:val="32"/>
          <w:szCs w:val="32"/>
        </w:rPr>
      </w:pPr>
      <w:bookmarkStart w:id="250" w:name="_Toc50990526"/>
      <w:bookmarkStart w:id="251" w:name="_Toc50989746"/>
      <w:bookmarkStart w:id="252" w:name="_Toc50991784"/>
      <w:r>
        <w:rPr>
          <w:rFonts w:hint="eastAsia" w:ascii="仿宋_GB2312" w:eastAsia="仿宋_GB2312"/>
          <w:bCs/>
          <w:sz w:val="32"/>
          <w:szCs w:val="32"/>
        </w:rPr>
        <w:t>（10）“一市一策”初步综合解决方案及秋冬季污染防治方案完成度。研究项目组已完成了“一市一策”初步综合解决方案及秋冬季污染防治方案编制工作，实际完成度100%。</w:t>
      </w:r>
      <w:bookmarkEnd w:id="250"/>
      <w:bookmarkEnd w:id="251"/>
      <w:bookmarkEnd w:id="252"/>
    </w:p>
    <w:p>
      <w:pPr>
        <w:spacing w:line="600" w:lineRule="exact"/>
        <w:ind w:firstLine="640" w:firstLineChars="200"/>
        <w:outlineLvl w:val="2"/>
        <w:rPr>
          <w:rFonts w:ascii="仿宋_GB2312" w:eastAsia="仿宋_GB2312"/>
          <w:sz w:val="32"/>
          <w:szCs w:val="32"/>
        </w:rPr>
      </w:pPr>
      <w:bookmarkStart w:id="253" w:name="_Toc53233066"/>
      <w:bookmarkStart w:id="254" w:name="_Toc50991785"/>
      <w:r>
        <w:rPr>
          <w:rFonts w:hint="eastAsia" w:ascii="仿宋_GB2312" w:eastAsia="仿宋_GB2312"/>
          <w:sz w:val="32"/>
          <w:szCs w:val="32"/>
        </w:rPr>
        <w:t>2.产出质量</w:t>
      </w:r>
      <w:bookmarkEnd w:id="253"/>
      <w:bookmarkEnd w:id="254"/>
    </w:p>
    <w:p>
      <w:pPr>
        <w:spacing w:line="560" w:lineRule="exact"/>
        <w:ind w:firstLine="640" w:firstLineChars="200"/>
        <w:rPr>
          <w:rFonts w:ascii="仿宋_GB2312" w:eastAsia="仿宋_GB2312"/>
          <w:bCs/>
          <w:sz w:val="32"/>
          <w:szCs w:val="32"/>
        </w:rPr>
      </w:pPr>
      <w:bookmarkStart w:id="255" w:name="_Toc50991788"/>
      <w:bookmarkStart w:id="256" w:name="_Toc50989750"/>
      <w:bookmarkStart w:id="257" w:name="_Toc50990530"/>
      <w:r>
        <w:rPr>
          <w:rFonts w:hint="eastAsia" w:ascii="仿宋_GB2312" w:eastAsia="仿宋_GB2312"/>
          <w:bCs/>
          <w:sz w:val="32"/>
          <w:szCs w:val="32"/>
        </w:rPr>
        <w:t>（1）2019年污染源排放清单动态更新工作完成度。项目组已完成2018年污染源排放清单、2019年污染物排放清单的编制工作，污染源排放清单逐年滚动更新工作完成度100%；</w:t>
      </w:r>
      <w:bookmarkEnd w:id="255"/>
      <w:bookmarkEnd w:id="256"/>
      <w:bookmarkEnd w:id="257"/>
    </w:p>
    <w:p>
      <w:pPr>
        <w:spacing w:line="560" w:lineRule="exact"/>
        <w:ind w:firstLine="640" w:firstLineChars="200"/>
        <w:rPr>
          <w:rFonts w:ascii="仿宋_GB2312" w:eastAsia="仿宋_GB2312"/>
          <w:bCs/>
          <w:sz w:val="32"/>
          <w:szCs w:val="32"/>
        </w:rPr>
      </w:pPr>
      <w:bookmarkStart w:id="258" w:name="_Toc50991789"/>
      <w:bookmarkStart w:id="259" w:name="_Toc50990531"/>
      <w:bookmarkStart w:id="260" w:name="_Toc50989751"/>
      <w:r>
        <w:rPr>
          <w:rFonts w:hint="eastAsia" w:ascii="仿宋_GB2312" w:eastAsia="仿宋_GB2312"/>
          <w:bCs/>
          <w:sz w:val="32"/>
          <w:szCs w:val="32"/>
        </w:rPr>
        <w:t>（2）编制高分辨率大气污染源排放清单涉及污染源及污染物类型。项目组提供的2019年污染物排放清单、源解析报告及生态环境局2019年项目工作进度报告中可以反映出编制的污染物排放清单已将9大类污染源及9种污染物全部包括在内，工作已全部完成；</w:t>
      </w:r>
      <w:bookmarkEnd w:id="258"/>
      <w:bookmarkEnd w:id="259"/>
      <w:bookmarkEnd w:id="260"/>
    </w:p>
    <w:p>
      <w:pPr>
        <w:spacing w:line="560" w:lineRule="exact"/>
        <w:ind w:firstLine="640" w:firstLineChars="200"/>
        <w:rPr>
          <w:rFonts w:ascii="仿宋_GB2312" w:eastAsia="仿宋_GB2312"/>
          <w:bCs/>
          <w:sz w:val="32"/>
          <w:szCs w:val="32"/>
        </w:rPr>
      </w:pPr>
      <w:bookmarkStart w:id="261" w:name="_Toc50989752"/>
      <w:bookmarkStart w:id="262" w:name="_Toc50991790"/>
      <w:bookmarkStart w:id="263" w:name="_Toc50990532"/>
      <w:r>
        <w:rPr>
          <w:rFonts w:hint="eastAsia" w:ascii="仿宋_GB2312" w:eastAsia="仿宋_GB2312"/>
          <w:bCs/>
          <w:sz w:val="32"/>
          <w:szCs w:val="32"/>
        </w:rPr>
        <w:t>（3）排放清单2019年污染源活动水平数据调研率。因全市涉气企业数量动态更新，每个阶段统计的数字都会有差异，本次采用统计数据为研究组研究阶段统计的262家涉气企业，按照计划拟开展262家企业调研，实际调研2019工业源排放清单企业280家，达到了全覆盖；</w:t>
      </w:r>
      <w:bookmarkEnd w:id="261"/>
      <w:bookmarkEnd w:id="262"/>
      <w:bookmarkEnd w:id="263"/>
    </w:p>
    <w:p>
      <w:pPr>
        <w:spacing w:line="560" w:lineRule="exact"/>
        <w:ind w:firstLine="640" w:firstLineChars="200"/>
        <w:rPr>
          <w:rFonts w:ascii="仿宋_GB2312" w:eastAsia="仿宋_GB2312"/>
          <w:bCs/>
          <w:sz w:val="32"/>
          <w:szCs w:val="32"/>
        </w:rPr>
      </w:pPr>
      <w:bookmarkStart w:id="264" w:name="_Toc50990533"/>
      <w:bookmarkStart w:id="265" w:name="_Toc50989753"/>
      <w:bookmarkStart w:id="266" w:name="_Toc50991791"/>
      <w:r>
        <w:rPr>
          <w:rFonts w:hint="eastAsia" w:ascii="仿宋_GB2312" w:eastAsia="仿宋_GB2312"/>
          <w:bCs/>
          <w:sz w:val="32"/>
          <w:szCs w:val="32"/>
        </w:rPr>
        <w:t>（4）技术培训各区县覆盖率。研究项目组技术共计开展培训5次，培训范围覆盖了铜川市各个区县，覆盖率100%；</w:t>
      </w:r>
      <w:bookmarkEnd w:id="264"/>
      <w:bookmarkEnd w:id="265"/>
      <w:bookmarkEnd w:id="266"/>
    </w:p>
    <w:p>
      <w:pPr>
        <w:spacing w:line="560" w:lineRule="exact"/>
        <w:ind w:firstLine="640" w:firstLineChars="200"/>
        <w:rPr>
          <w:rFonts w:ascii="仿宋_GB2312" w:eastAsia="仿宋_GB2312"/>
          <w:bCs/>
          <w:sz w:val="32"/>
          <w:szCs w:val="32"/>
        </w:rPr>
      </w:pPr>
      <w:bookmarkStart w:id="267" w:name="_Toc50990534"/>
      <w:bookmarkStart w:id="268" w:name="_Toc50989754"/>
      <w:bookmarkStart w:id="269" w:name="_Toc50991792"/>
      <w:r>
        <w:rPr>
          <w:rFonts w:hint="eastAsia" w:ascii="仿宋_GB2312" w:eastAsia="仿宋_GB2312"/>
          <w:bCs/>
          <w:sz w:val="32"/>
          <w:szCs w:val="32"/>
        </w:rPr>
        <w:t>（5）建立重污染时期多部门联合会商机制。通过铜川市召开空气质量会商研判会，建立铜川市冬防期空气质量预警预报会商机制，由铜川市生态环境局、气象局、铜川市环境监测站的专家以及”一市一策“驻点跟踪研究团队的专家参与，在切实了解未来几天空气质量形势的基础上，凝聚各方专家意见就是否解除预警展开会商，就重污染天气预警是否解除等相关问题进行深入探讨交流，并于现场形成会商报告单，并在此基础上不断完善常态化会商机制；</w:t>
      </w:r>
      <w:bookmarkEnd w:id="267"/>
      <w:bookmarkEnd w:id="268"/>
      <w:bookmarkEnd w:id="269"/>
    </w:p>
    <w:p>
      <w:pPr>
        <w:spacing w:line="560" w:lineRule="exact"/>
        <w:ind w:firstLine="640" w:firstLineChars="200"/>
        <w:rPr>
          <w:rFonts w:ascii="仿宋_GB2312" w:eastAsia="仿宋_GB2312"/>
          <w:bCs/>
          <w:sz w:val="32"/>
          <w:szCs w:val="32"/>
        </w:rPr>
      </w:pPr>
      <w:bookmarkStart w:id="270" w:name="_Toc50989755"/>
      <w:bookmarkStart w:id="271" w:name="_Toc50991793"/>
      <w:bookmarkStart w:id="272" w:name="_Toc50990535"/>
      <w:r>
        <w:rPr>
          <w:rFonts w:hint="eastAsia" w:ascii="仿宋_GB2312" w:eastAsia="仿宋_GB2312"/>
          <w:bCs/>
          <w:sz w:val="32"/>
          <w:szCs w:val="32"/>
        </w:rPr>
        <w:t>（6）驻点跟踪研究阶段工作考核结果等级。2019年大气重污染成因与治理攻关项目管理办公室公布了汾渭平原11个城市“一市一策”驻点跟踪研究阶段工作考核结果，铜川市考核综合得分89.15，考核等次为“良好”；</w:t>
      </w:r>
      <w:bookmarkEnd w:id="270"/>
      <w:bookmarkEnd w:id="271"/>
      <w:bookmarkEnd w:id="272"/>
    </w:p>
    <w:p>
      <w:pPr>
        <w:spacing w:line="560" w:lineRule="exact"/>
        <w:ind w:firstLine="640" w:firstLineChars="200"/>
        <w:rPr>
          <w:rFonts w:ascii="仿宋_GB2312" w:eastAsia="仿宋_GB2312"/>
          <w:bCs/>
          <w:sz w:val="32"/>
          <w:szCs w:val="32"/>
        </w:rPr>
      </w:pPr>
      <w:bookmarkStart w:id="273" w:name="_Toc50990537"/>
      <w:bookmarkStart w:id="274" w:name="_Toc50989757"/>
      <w:bookmarkStart w:id="275" w:name="_Toc50991795"/>
      <w:r>
        <w:rPr>
          <w:rFonts w:hint="eastAsia" w:ascii="仿宋_GB2312" w:eastAsia="仿宋_GB2312"/>
          <w:bCs/>
          <w:sz w:val="32"/>
          <w:szCs w:val="32"/>
        </w:rPr>
        <w:t>（7）空气质量等级预报准确率。预报分为模式和人工两种，通过专家了解模式准确率60%以上为良好，人工准确率80%以上为良好，铜川市预报采用模式加人工，2019年铜川市24小时空气质量预报准确率为88.7%，预报精准度较好；</w:t>
      </w:r>
      <w:bookmarkEnd w:id="273"/>
      <w:bookmarkEnd w:id="274"/>
      <w:bookmarkEnd w:id="275"/>
    </w:p>
    <w:p>
      <w:pPr>
        <w:spacing w:line="560" w:lineRule="exact"/>
        <w:ind w:firstLine="640" w:firstLineChars="200"/>
        <w:rPr>
          <w:rFonts w:ascii="仿宋_GB2312" w:eastAsia="仿宋_GB2312"/>
          <w:bCs/>
          <w:sz w:val="32"/>
          <w:szCs w:val="32"/>
        </w:rPr>
      </w:pPr>
      <w:bookmarkStart w:id="276" w:name="_Toc50989758"/>
      <w:bookmarkStart w:id="277" w:name="_Toc50990538"/>
      <w:bookmarkStart w:id="278" w:name="_Toc50991796"/>
      <w:r>
        <w:rPr>
          <w:rFonts w:hint="eastAsia" w:ascii="仿宋_GB2312" w:eastAsia="仿宋_GB2312"/>
          <w:bCs/>
          <w:sz w:val="32"/>
          <w:szCs w:val="32"/>
        </w:rPr>
        <w:t>（8）提出空气污染管控建议。研究项目组已编制完成铜川市臭氧简析报告、铜川市VOCs管控建议，针对铜川市空气污染防治提出了管控建议；</w:t>
      </w:r>
      <w:bookmarkEnd w:id="276"/>
      <w:bookmarkEnd w:id="277"/>
      <w:bookmarkEnd w:id="278"/>
    </w:p>
    <w:p>
      <w:pPr>
        <w:spacing w:line="560" w:lineRule="exact"/>
        <w:ind w:firstLine="640" w:firstLineChars="200"/>
        <w:rPr>
          <w:rFonts w:ascii="仿宋_GB2312" w:eastAsia="仿宋_GB2312"/>
          <w:bCs/>
          <w:sz w:val="32"/>
          <w:szCs w:val="32"/>
        </w:rPr>
      </w:pPr>
      <w:bookmarkStart w:id="279" w:name="_Toc50990539"/>
      <w:bookmarkStart w:id="280" w:name="_Toc50991797"/>
      <w:bookmarkStart w:id="281" w:name="_Toc50989759"/>
      <w:r>
        <w:rPr>
          <w:rFonts w:hint="eastAsia" w:ascii="仿宋_GB2312" w:eastAsia="仿宋_GB2312"/>
          <w:bCs/>
          <w:sz w:val="32"/>
          <w:szCs w:val="32"/>
        </w:rPr>
        <w:t>（9）重点行业企业核查措施实施情况。研究项目组已完成《铜川市2019年重污染天气主要行业应急减排措施建议》编制工作；各行业企业已编制成册的重污染天气应急预案，研究项目组已完成对企业制定“一企一策”操作方案的指导工作，并对操作方案实际执行情况进行了现场督导检查；</w:t>
      </w:r>
      <w:bookmarkEnd w:id="279"/>
      <w:bookmarkEnd w:id="280"/>
      <w:bookmarkEnd w:id="281"/>
    </w:p>
    <w:p>
      <w:pPr>
        <w:spacing w:line="560" w:lineRule="exact"/>
        <w:ind w:firstLine="640" w:firstLineChars="200"/>
        <w:rPr>
          <w:rFonts w:ascii="仿宋_GB2312" w:eastAsia="仿宋_GB2312"/>
          <w:bCs/>
          <w:sz w:val="32"/>
          <w:szCs w:val="32"/>
        </w:rPr>
      </w:pPr>
      <w:bookmarkStart w:id="282" w:name="_Toc50990540"/>
      <w:bookmarkStart w:id="283" w:name="_Toc50989760"/>
      <w:bookmarkStart w:id="284" w:name="_Toc50991798"/>
      <w:r>
        <w:rPr>
          <w:rFonts w:hint="eastAsia" w:ascii="仿宋_GB2312" w:eastAsia="仿宋_GB2312"/>
          <w:bCs/>
          <w:sz w:val="32"/>
          <w:szCs w:val="32"/>
        </w:rPr>
        <w:t>（10）实现重点行业企业差异化管控。研究项目组提供的铜川市企业绩效提升工作汇报中提出铜川市已依据《铜川市重污染天气应急预案（2019年修订稿）》和《铜川市培育扶持绿色标杆企业实施方案》将7个行业类型的16家企业进行了绩效分级管控，加快推进了企业绩效提升</w:t>
      </w:r>
      <w:bookmarkEnd w:id="282"/>
      <w:bookmarkEnd w:id="283"/>
      <w:bookmarkEnd w:id="284"/>
      <w:r>
        <w:rPr>
          <w:rFonts w:hint="eastAsia" w:ascii="仿宋_GB2312" w:eastAsia="仿宋_GB2312"/>
          <w:bCs/>
          <w:sz w:val="32"/>
          <w:szCs w:val="32"/>
        </w:rPr>
        <w:t>。</w:t>
      </w:r>
    </w:p>
    <w:p>
      <w:pPr>
        <w:spacing w:line="600" w:lineRule="exact"/>
        <w:ind w:firstLine="640" w:firstLineChars="200"/>
        <w:outlineLvl w:val="2"/>
        <w:rPr>
          <w:rFonts w:ascii="仿宋_GB2312" w:eastAsia="仿宋_GB2312"/>
          <w:sz w:val="32"/>
          <w:szCs w:val="32"/>
        </w:rPr>
      </w:pPr>
      <w:bookmarkStart w:id="285" w:name="_Toc50991799"/>
      <w:bookmarkStart w:id="286" w:name="_Toc53233067"/>
      <w:r>
        <w:rPr>
          <w:rFonts w:hint="eastAsia" w:ascii="仿宋_GB2312" w:eastAsia="仿宋_GB2312"/>
          <w:sz w:val="32"/>
          <w:szCs w:val="32"/>
        </w:rPr>
        <w:t>3.产出时效</w:t>
      </w:r>
      <w:bookmarkEnd w:id="285"/>
      <w:bookmarkEnd w:id="286"/>
    </w:p>
    <w:p>
      <w:pPr>
        <w:spacing w:line="560" w:lineRule="exact"/>
        <w:ind w:firstLine="640" w:firstLineChars="200"/>
        <w:rPr>
          <w:rFonts w:ascii="仿宋_GB2312" w:eastAsia="仿宋_GB2312"/>
          <w:bCs/>
          <w:sz w:val="32"/>
          <w:szCs w:val="32"/>
        </w:rPr>
      </w:pPr>
      <w:bookmarkStart w:id="287" w:name="_Toc50990542"/>
      <w:bookmarkStart w:id="288" w:name="_Toc53388444"/>
      <w:bookmarkStart w:id="289" w:name="_Toc50991800"/>
      <w:bookmarkStart w:id="290" w:name="_Toc50989762"/>
      <w:bookmarkStart w:id="291" w:name="_Toc50991801"/>
      <w:r>
        <w:rPr>
          <w:rFonts w:hint="eastAsia" w:ascii="仿宋_GB2312" w:eastAsia="仿宋_GB2312"/>
          <w:bCs/>
          <w:sz w:val="32"/>
          <w:szCs w:val="32"/>
        </w:rPr>
        <w:t>时效指标研究组课题研究任务按时结题率分析。项目实施方案中制定2019年度阶段性工作任务16项，根据环境局提供的2019年项目进展报告以及各项课题研究成果资料可以反映出16项工作任务已全部完成。</w:t>
      </w:r>
      <w:bookmarkEnd w:id="287"/>
      <w:bookmarkEnd w:id="288"/>
      <w:bookmarkEnd w:id="289"/>
      <w:bookmarkEnd w:id="290"/>
    </w:p>
    <w:p>
      <w:pPr>
        <w:spacing w:line="600" w:lineRule="exact"/>
        <w:ind w:firstLine="640" w:firstLineChars="200"/>
        <w:outlineLvl w:val="1"/>
        <w:rPr>
          <w:rFonts w:eastAsia="楷体_GB2312"/>
          <w:sz w:val="32"/>
          <w:szCs w:val="32"/>
        </w:rPr>
      </w:pPr>
      <w:bookmarkStart w:id="292" w:name="_Toc54202998"/>
      <w:r>
        <w:rPr>
          <w:rFonts w:eastAsia="楷体_GB2312"/>
          <w:sz w:val="32"/>
          <w:szCs w:val="32"/>
        </w:rPr>
        <w:t>（四）项目绩效情况</w:t>
      </w:r>
      <w:bookmarkEnd w:id="291"/>
      <w:bookmarkEnd w:id="292"/>
    </w:p>
    <w:p>
      <w:pPr>
        <w:spacing w:line="600" w:lineRule="exact"/>
        <w:ind w:firstLine="640" w:firstLineChars="200"/>
        <w:outlineLvl w:val="2"/>
        <w:rPr>
          <w:rFonts w:ascii="仿宋_GB2312" w:eastAsia="仿宋_GB2312"/>
          <w:sz w:val="32"/>
          <w:szCs w:val="32"/>
        </w:rPr>
      </w:pPr>
      <w:bookmarkStart w:id="293" w:name="_Toc53233070"/>
      <w:bookmarkStart w:id="294" w:name="_Toc50991804"/>
      <w:r>
        <w:rPr>
          <w:rFonts w:hint="eastAsia" w:ascii="仿宋_GB2312" w:eastAsia="仿宋_GB2312"/>
          <w:sz w:val="32"/>
          <w:szCs w:val="32"/>
        </w:rPr>
        <w:t>1.生态效益</w:t>
      </w:r>
      <w:bookmarkEnd w:id="293"/>
      <w:bookmarkEnd w:id="294"/>
    </w:p>
    <w:p>
      <w:pPr>
        <w:spacing w:line="560" w:lineRule="exact"/>
        <w:ind w:firstLine="645"/>
        <w:rPr>
          <w:rFonts w:ascii="仿宋_GB2312" w:eastAsia="仿宋_GB2312"/>
          <w:bCs/>
          <w:sz w:val="32"/>
          <w:szCs w:val="32"/>
        </w:rPr>
      </w:pPr>
      <w:bookmarkStart w:id="295" w:name="_Toc50990545"/>
      <w:bookmarkStart w:id="296" w:name="_Toc50989765"/>
      <w:bookmarkStart w:id="297" w:name="_Toc50991803"/>
      <w:bookmarkStart w:id="298" w:name="_Toc50990547"/>
      <w:bookmarkStart w:id="299" w:name="_Toc50991805"/>
      <w:bookmarkStart w:id="300" w:name="_Toc50989767"/>
      <w:r>
        <w:rPr>
          <w:rFonts w:hint="eastAsia" w:ascii="仿宋_GB2312" w:eastAsia="仿宋_GB2312"/>
          <w:bCs/>
          <w:sz w:val="32"/>
          <w:szCs w:val="32"/>
        </w:rPr>
        <w:t>（1）深化大气污染防治工作。本项目实施后，在大气污染的成因、影响评估、预测预报、决策支撑、精准治理方面形成了研究成果，分析了区域秋冬季大气重污染的成因，精准识别了区域污染排放特征和重点问题，提出了深化大气污染防治工作方案建议，助力推动了整个区域的空气质量的改善。项目的持续实施，将进一步提升大气污染治理的科学性、精准性，一定程度上推动区域能源、产业、交通运输结构调整，促进节能环保产业的发展，从而推动地区环境质量持续改善和经济高质量发展。</w:t>
      </w:r>
    </w:p>
    <w:p>
      <w:pPr>
        <w:spacing w:line="560" w:lineRule="exact"/>
        <w:ind w:firstLine="640" w:firstLineChars="200"/>
        <w:rPr>
          <w:rFonts w:ascii="仿宋_GB2312" w:eastAsia="仿宋_GB2312"/>
          <w:bCs/>
          <w:sz w:val="32"/>
          <w:szCs w:val="32"/>
        </w:rPr>
      </w:pPr>
      <w:r>
        <w:rPr>
          <w:rFonts w:hint="eastAsia" w:ascii="仿宋_GB2312" w:eastAsia="仿宋_GB2312"/>
          <w:bCs/>
          <w:sz w:val="32"/>
          <w:szCs w:val="32"/>
        </w:rPr>
        <w:t>（2）为铜川市大气污染治理工作提供了数据支撑。</w:t>
      </w:r>
      <w:bookmarkEnd w:id="295"/>
      <w:bookmarkEnd w:id="296"/>
      <w:bookmarkEnd w:id="297"/>
      <w:r>
        <w:rPr>
          <w:rFonts w:hint="eastAsia" w:ascii="仿宋_GB2312" w:eastAsia="仿宋_GB2312"/>
          <w:bCs/>
          <w:sz w:val="32"/>
          <w:szCs w:val="32"/>
        </w:rPr>
        <w:t>通过专家组提供的源解析报告、污染源排放清单、空气质量预报预警、空气质量报告、各项重污染天气分析报告、各项污染防治建议措施可以反映出研究项目组为铜川市大气污染防治工作提供了足够多的数据支撑。</w:t>
      </w:r>
    </w:p>
    <w:bookmarkEnd w:id="298"/>
    <w:bookmarkEnd w:id="299"/>
    <w:bookmarkEnd w:id="300"/>
    <w:p>
      <w:pPr>
        <w:spacing w:line="600" w:lineRule="exact"/>
        <w:ind w:firstLine="640" w:firstLineChars="200"/>
        <w:outlineLvl w:val="2"/>
        <w:rPr>
          <w:rFonts w:ascii="仿宋_GB2312" w:eastAsia="仿宋_GB2312"/>
          <w:sz w:val="32"/>
          <w:szCs w:val="32"/>
        </w:rPr>
      </w:pPr>
      <w:bookmarkStart w:id="301" w:name="_Toc53233071"/>
      <w:bookmarkStart w:id="302" w:name="_Toc50991808"/>
      <w:r>
        <w:rPr>
          <w:rFonts w:hint="eastAsia" w:ascii="仿宋_GB2312" w:eastAsia="仿宋_GB2312"/>
          <w:sz w:val="32"/>
          <w:szCs w:val="32"/>
        </w:rPr>
        <w:t>2.可持续</w:t>
      </w:r>
      <w:bookmarkEnd w:id="301"/>
      <w:bookmarkEnd w:id="302"/>
      <w:r>
        <w:rPr>
          <w:rFonts w:hint="eastAsia" w:ascii="仿宋_GB2312" w:eastAsia="仿宋_GB2312"/>
          <w:sz w:val="32"/>
          <w:szCs w:val="32"/>
        </w:rPr>
        <w:t>影响</w:t>
      </w:r>
    </w:p>
    <w:p>
      <w:pPr>
        <w:spacing w:line="600" w:lineRule="exact"/>
        <w:ind w:firstLine="640" w:firstLineChars="200"/>
        <w:outlineLvl w:val="2"/>
        <w:rPr>
          <w:rFonts w:ascii="仿宋_GB2312" w:eastAsia="仿宋_GB2312"/>
          <w:bCs/>
          <w:sz w:val="32"/>
          <w:szCs w:val="32"/>
        </w:rPr>
      </w:pPr>
      <w:bookmarkStart w:id="303" w:name="_Toc50991809"/>
      <w:bookmarkStart w:id="304" w:name="_Toc50989771"/>
      <w:bookmarkStart w:id="305" w:name="_Toc50990551"/>
      <w:r>
        <w:rPr>
          <w:rFonts w:hint="eastAsia" w:ascii="仿宋_GB2312" w:eastAsia="仿宋_GB2312"/>
          <w:bCs/>
          <w:sz w:val="32"/>
          <w:szCs w:val="32"/>
        </w:rPr>
        <w:t>（1）推动重污染天气应急预案建立。项目的开展促进了重点行业企业与生态环境的协调和可持续发展。专家组为企业进行“一企一策”应急预案制定指导工作，对铜川中星材料有限责任公司、铜川声威建材有限责任公司等267家企业进行指导，按照“一个企业一套预案”的思路，从应急指挥体系及职责、预警与响应、信息公开、监督检查、应急保障、预案管理等方面指导企业建立了重污染天气应急预案。</w:t>
      </w:r>
    </w:p>
    <w:p>
      <w:pPr>
        <w:spacing w:line="600" w:lineRule="exact"/>
        <w:ind w:firstLine="640" w:firstLineChars="200"/>
        <w:outlineLvl w:val="2"/>
        <w:rPr>
          <w:rFonts w:ascii="仿宋_GB2312" w:eastAsia="仿宋_GB2312"/>
          <w:bCs/>
          <w:sz w:val="32"/>
          <w:szCs w:val="32"/>
        </w:rPr>
      </w:pPr>
      <w:r>
        <w:rPr>
          <w:rFonts w:hint="eastAsia" w:ascii="仿宋_GB2312" w:eastAsia="仿宋_GB2312"/>
          <w:bCs/>
          <w:sz w:val="32"/>
          <w:szCs w:val="32"/>
        </w:rPr>
        <w:t>（2）带动企业提标改造。2019年铜川市共6家重点行业企业投资6084万元实施提标改造工程，2020年5家重点行业企业提交了提标改造可研报告，根据项目组提供的部分重点行业企业提标改造可研报告、铜川市企业绩效提升工作汇报、2018-2020铜川市空气质量达标规划可以反映出目前铜川市重点行业企业在不断地落实环保措施实现提标改造工程，进而加大大气污染防治力度，促进企业与生态环境共同良性发展。</w:t>
      </w:r>
      <w:bookmarkEnd w:id="303"/>
      <w:bookmarkEnd w:id="304"/>
      <w:bookmarkEnd w:id="305"/>
    </w:p>
    <w:p>
      <w:pPr>
        <w:spacing w:line="600" w:lineRule="exact"/>
        <w:ind w:firstLine="640" w:firstLineChars="200"/>
        <w:outlineLvl w:val="2"/>
        <w:rPr>
          <w:rFonts w:ascii="仿宋_GB2312" w:eastAsia="仿宋_GB2312"/>
          <w:sz w:val="32"/>
          <w:szCs w:val="32"/>
        </w:rPr>
      </w:pPr>
      <w:bookmarkStart w:id="306" w:name="_Toc53233072"/>
      <w:bookmarkStart w:id="307" w:name="_Toc50991810"/>
      <w:r>
        <w:rPr>
          <w:rFonts w:hint="eastAsia" w:ascii="仿宋_GB2312" w:eastAsia="仿宋_GB2312"/>
          <w:sz w:val="32"/>
          <w:szCs w:val="32"/>
        </w:rPr>
        <w:t>3.满意度分析</w:t>
      </w:r>
      <w:bookmarkEnd w:id="306"/>
      <w:bookmarkEnd w:id="307"/>
    </w:p>
    <w:p>
      <w:pPr>
        <w:spacing w:line="560" w:lineRule="exact"/>
        <w:ind w:firstLine="640" w:firstLineChars="200"/>
        <w:rPr>
          <w:rFonts w:ascii="仿宋_GB2312" w:eastAsia="仿宋_GB2312"/>
          <w:bCs/>
          <w:sz w:val="32"/>
          <w:szCs w:val="32"/>
        </w:rPr>
      </w:pPr>
      <w:bookmarkStart w:id="308" w:name="_Toc50991811"/>
      <w:bookmarkStart w:id="309" w:name="_Toc50990553"/>
      <w:bookmarkStart w:id="310" w:name="_Toc50989773"/>
      <w:r>
        <w:rPr>
          <w:rFonts w:hint="eastAsia" w:ascii="仿宋_GB2312" w:eastAsia="仿宋_GB2312"/>
          <w:bCs/>
          <w:sz w:val="32"/>
          <w:szCs w:val="32"/>
        </w:rPr>
        <w:t>研究成果使用部门满意度。本次针对项目研究成果使用部门共计发放80份调查问卷，反馈结果统计如下表：</w:t>
      </w:r>
      <w:bookmarkEnd w:id="308"/>
      <w:bookmarkEnd w:id="309"/>
      <w:bookmarkEnd w:id="310"/>
    </w:p>
    <w:p>
      <w:pPr>
        <w:spacing w:line="560" w:lineRule="exact"/>
        <w:ind w:firstLine="482" w:firstLineChars="200"/>
        <w:jc w:val="center"/>
        <w:rPr>
          <w:rFonts w:eastAsia="仿宋_GB2312"/>
          <w:b/>
          <w:sz w:val="24"/>
        </w:rPr>
      </w:pPr>
      <w:r>
        <w:rPr>
          <w:rFonts w:eastAsia="仿宋_GB2312"/>
          <w:b/>
          <w:sz w:val="24"/>
        </w:rPr>
        <w:t>表4调查问卷结果汇总表</w:t>
      </w:r>
    </w:p>
    <w:tbl>
      <w:tblPr>
        <w:tblStyle w:val="14"/>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520"/>
        <w:gridCol w:w="1608"/>
        <w:gridCol w:w="1662"/>
        <w:gridCol w:w="1608"/>
        <w:gridCol w:w="16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67" w:hRule="atLeast"/>
          <w:tblHeader/>
        </w:trPr>
        <w:tc>
          <w:tcPr>
            <w:tcW w:w="1402" w:type="pct"/>
            <w:noWrap/>
            <w:vAlign w:val="center"/>
          </w:tcPr>
          <w:p>
            <w:pPr>
              <w:jc w:val="center"/>
              <w:rPr>
                <w:rFonts w:eastAsia="仿宋_GB2312"/>
                <w:b/>
                <w:kern w:val="0"/>
                <w:sz w:val="24"/>
              </w:rPr>
            </w:pPr>
            <w:bookmarkStart w:id="311" w:name="_Toc50990554"/>
            <w:bookmarkStart w:id="312" w:name="_Toc50991812"/>
            <w:bookmarkStart w:id="313" w:name="_Toc50989774"/>
            <w:r>
              <w:rPr>
                <w:rFonts w:eastAsia="仿宋_GB2312"/>
                <w:b/>
                <w:kern w:val="0"/>
                <w:sz w:val="24"/>
              </w:rPr>
              <w:t>调查人员岗位</w:t>
            </w:r>
            <w:bookmarkEnd w:id="311"/>
            <w:bookmarkEnd w:id="312"/>
            <w:bookmarkEnd w:id="313"/>
          </w:p>
        </w:tc>
        <w:tc>
          <w:tcPr>
            <w:tcW w:w="899" w:type="pct"/>
            <w:noWrap/>
            <w:vAlign w:val="center"/>
          </w:tcPr>
          <w:p>
            <w:pPr>
              <w:jc w:val="center"/>
              <w:rPr>
                <w:rFonts w:eastAsia="仿宋_GB2312"/>
                <w:b/>
                <w:kern w:val="0"/>
                <w:sz w:val="24"/>
              </w:rPr>
            </w:pPr>
            <w:bookmarkStart w:id="314" w:name="_Toc50990555"/>
            <w:bookmarkStart w:id="315" w:name="_Toc50989775"/>
            <w:bookmarkStart w:id="316" w:name="_Toc50991813"/>
            <w:r>
              <w:rPr>
                <w:rFonts w:eastAsia="仿宋_GB2312"/>
                <w:b/>
                <w:kern w:val="0"/>
                <w:sz w:val="24"/>
              </w:rPr>
              <w:t>满意（人）</w:t>
            </w:r>
            <w:bookmarkEnd w:id="314"/>
            <w:bookmarkEnd w:id="315"/>
            <w:bookmarkEnd w:id="316"/>
          </w:p>
        </w:tc>
        <w:tc>
          <w:tcPr>
            <w:tcW w:w="899" w:type="pct"/>
            <w:noWrap/>
            <w:vAlign w:val="center"/>
          </w:tcPr>
          <w:p>
            <w:pPr>
              <w:jc w:val="center"/>
              <w:rPr>
                <w:rFonts w:eastAsia="仿宋_GB2312"/>
                <w:b/>
                <w:kern w:val="0"/>
                <w:sz w:val="24"/>
              </w:rPr>
            </w:pPr>
            <w:bookmarkStart w:id="317" w:name="_Toc50989776"/>
            <w:bookmarkStart w:id="318" w:name="_Toc50990556"/>
            <w:bookmarkStart w:id="319" w:name="_Toc50991814"/>
            <w:r>
              <w:rPr>
                <w:rFonts w:eastAsia="仿宋_GB2312"/>
                <w:b/>
                <w:kern w:val="0"/>
                <w:sz w:val="24"/>
              </w:rPr>
              <w:t>较满意（人）</w:t>
            </w:r>
            <w:bookmarkEnd w:id="317"/>
            <w:bookmarkEnd w:id="318"/>
            <w:bookmarkEnd w:id="319"/>
          </w:p>
        </w:tc>
        <w:tc>
          <w:tcPr>
            <w:tcW w:w="899" w:type="pct"/>
            <w:noWrap/>
            <w:vAlign w:val="center"/>
          </w:tcPr>
          <w:p>
            <w:pPr>
              <w:jc w:val="center"/>
              <w:rPr>
                <w:rFonts w:eastAsia="仿宋_GB2312"/>
                <w:b/>
                <w:kern w:val="0"/>
                <w:sz w:val="24"/>
              </w:rPr>
            </w:pPr>
            <w:bookmarkStart w:id="320" w:name="_Toc50991815"/>
            <w:bookmarkStart w:id="321" w:name="_Toc50989777"/>
            <w:bookmarkStart w:id="322" w:name="_Toc50990557"/>
            <w:r>
              <w:rPr>
                <w:rFonts w:eastAsia="仿宋_GB2312"/>
                <w:b/>
                <w:kern w:val="0"/>
                <w:sz w:val="24"/>
              </w:rPr>
              <w:t>一般（人）</w:t>
            </w:r>
            <w:bookmarkEnd w:id="320"/>
            <w:bookmarkEnd w:id="321"/>
            <w:bookmarkEnd w:id="322"/>
          </w:p>
        </w:tc>
        <w:tc>
          <w:tcPr>
            <w:tcW w:w="899" w:type="pct"/>
            <w:noWrap/>
            <w:vAlign w:val="center"/>
          </w:tcPr>
          <w:p>
            <w:pPr>
              <w:jc w:val="center"/>
              <w:rPr>
                <w:rFonts w:eastAsia="仿宋_GB2312"/>
                <w:b/>
                <w:kern w:val="0"/>
                <w:sz w:val="24"/>
              </w:rPr>
            </w:pPr>
            <w:bookmarkStart w:id="323" w:name="_Toc50990558"/>
            <w:bookmarkStart w:id="324" w:name="_Toc50991816"/>
            <w:bookmarkStart w:id="325" w:name="_Toc50989778"/>
            <w:r>
              <w:rPr>
                <w:rFonts w:eastAsia="仿宋_GB2312"/>
                <w:b/>
                <w:kern w:val="0"/>
                <w:sz w:val="24"/>
              </w:rPr>
              <w:t>不满意（人）</w:t>
            </w:r>
            <w:bookmarkEnd w:id="323"/>
            <w:bookmarkEnd w:id="324"/>
            <w:bookmarkEnd w:id="325"/>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402" w:type="pct"/>
            <w:noWrap/>
            <w:vAlign w:val="center"/>
          </w:tcPr>
          <w:p>
            <w:pPr>
              <w:jc w:val="center"/>
              <w:rPr>
                <w:rFonts w:eastAsia="仿宋_GB2312"/>
                <w:bCs/>
                <w:kern w:val="0"/>
                <w:sz w:val="24"/>
              </w:rPr>
            </w:pPr>
            <w:bookmarkStart w:id="326" w:name="_Toc50989779"/>
            <w:bookmarkStart w:id="327" w:name="_Toc50991817"/>
            <w:bookmarkStart w:id="328" w:name="_Toc50990559"/>
            <w:r>
              <w:rPr>
                <w:rFonts w:eastAsia="仿宋_GB2312"/>
                <w:bCs/>
                <w:kern w:val="0"/>
                <w:sz w:val="24"/>
              </w:rPr>
              <w:t>管理岗位</w:t>
            </w:r>
            <w:bookmarkEnd w:id="326"/>
            <w:bookmarkEnd w:id="327"/>
            <w:bookmarkEnd w:id="328"/>
          </w:p>
        </w:tc>
        <w:tc>
          <w:tcPr>
            <w:tcW w:w="899" w:type="pct"/>
            <w:noWrap/>
            <w:vAlign w:val="center"/>
          </w:tcPr>
          <w:p>
            <w:pPr>
              <w:jc w:val="center"/>
              <w:rPr>
                <w:rFonts w:eastAsia="仿宋_GB2312"/>
                <w:bCs/>
                <w:kern w:val="0"/>
                <w:sz w:val="24"/>
              </w:rPr>
            </w:pPr>
            <w:bookmarkStart w:id="329" w:name="_Toc50991818"/>
            <w:bookmarkStart w:id="330" w:name="_Toc50989780"/>
            <w:bookmarkStart w:id="331" w:name="_Toc50990560"/>
            <w:r>
              <w:rPr>
                <w:rFonts w:eastAsia="仿宋_GB2312"/>
                <w:bCs/>
                <w:kern w:val="0"/>
                <w:sz w:val="24"/>
              </w:rPr>
              <w:t>10</w:t>
            </w:r>
            <w:bookmarkEnd w:id="329"/>
            <w:bookmarkEnd w:id="330"/>
            <w:bookmarkEnd w:id="331"/>
          </w:p>
        </w:tc>
        <w:tc>
          <w:tcPr>
            <w:tcW w:w="899" w:type="pct"/>
            <w:noWrap/>
            <w:vAlign w:val="center"/>
          </w:tcPr>
          <w:p>
            <w:pPr>
              <w:jc w:val="center"/>
              <w:rPr>
                <w:rFonts w:eastAsia="仿宋_GB2312"/>
                <w:bCs/>
                <w:kern w:val="0"/>
                <w:sz w:val="24"/>
              </w:rPr>
            </w:pPr>
            <w:bookmarkStart w:id="332" w:name="_Toc50990561"/>
            <w:bookmarkStart w:id="333" w:name="_Toc50991819"/>
            <w:bookmarkStart w:id="334" w:name="_Toc50989781"/>
            <w:r>
              <w:rPr>
                <w:rFonts w:eastAsia="仿宋_GB2312"/>
                <w:bCs/>
                <w:kern w:val="0"/>
                <w:sz w:val="24"/>
              </w:rPr>
              <w:t>4</w:t>
            </w:r>
            <w:bookmarkEnd w:id="332"/>
            <w:bookmarkEnd w:id="333"/>
            <w:bookmarkEnd w:id="334"/>
          </w:p>
        </w:tc>
        <w:tc>
          <w:tcPr>
            <w:tcW w:w="899" w:type="pct"/>
            <w:noWrap/>
            <w:vAlign w:val="center"/>
          </w:tcPr>
          <w:p>
            <w:pPr>
              <w:jc w:val="center"/>
              <w:rPr>
                <w:rFonts w:eastAsia="仿宋_GB2312"/>
                <w:bCs/>
                <w:kern w:val="0"/>
                <w:sz w:val="24"/>
              </w:rPr>
            </w:pPr>
            <w:bookmarkStart w:id="335" w:name="_Toc50990562"/>
            <w:bookmarkStart w:id="336" w:name="_Toc50989782"/>
            <w:bookmarkStart w:id="337" w:name="_Toc50991820"/>
            <w:r>
              <w:rPr>
                <w:rFonts w:eastAsia="仿宋_GB2312"/>
                <w:bCs/>
                <w:kern w:val="0"/>
                <w:sz w:val="24"/>
              </w:rPr>
              <w:t>6</w:t>
            </w:r>
            <w:bookmarkEnd w:id="335"/>
            <w:bookmarkEnd w:id="336"/>
            <w:bookmarkEnd w:id="337"/>
          </w:p>
        </w:tc>
        <w:tc>
          <w:tcPr>
            <w:tcW w:w="899" w:type="pct"/>
            <w:noWrap/>
            <w:vAlign w:val="center"/>
          </w:tcPr>
          <w:p>
            <w:pPr>
              <w:ind w:firstLine="480" w:firstLineChars="200"/>
              <w:rPr>
                <w:rFonts w:eastAsia="仿宋_GB2312"/>
                <w:bCs/>
                <w:kern w:val="0"/>
                <w:sz w:val="24"/>
              </w:rPr>
            </w:pPr>
            <w:r>
              <w:rPr>
                <w:rFonts w:eastAsia="仿宋_GB2312"/>
                <w:bCs/>
                <w:kern w:val="0"/>
                <w:sz w:val="24"/>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402" w:type="pct"/>
            <w:noWrap/>
            <w:vAlign w:val="center"/>
          </w:tcPr>
          <w:p>
            <w:pPr>
              <w:jc w:val="center"/>
              <w:rPr>
                <w:rFonts w:eastAsia="仿宋_GB2312"/>
                <w:bCs/>
                <w:kern w:val="0"/>
                <w:sz w:val="24"/>
              </w:rPr>
            </w:pPr>
            <w:bookmarkStart w:id="338" w:name="_Toc50991821"/>
            <w:bookmarkStart w:id="339" w:name="_Toc50990563"/>
            <w:bookmarkStart w:id="340" w:name="_Toc50989783"/>
            <w:r>
              <w:rPr>
                <w:rFonts w:eastAsia="仿宋_GB2312"/>
                <w:bCs/>
                <w:kern w:val="0"/>
                <w:sz w:val="24"/>
              </w:rPr>
              <w:t>技术岗位</w:t>
            </w:r>
            <w:bookmarkEnd w:id="338"/>
            <w:bookmarkEnd w:id="339"/>
            <w:bookmarkEnd w:id="340"/>
          </w:p>
        </w:tc>
        <w:tc>
          <w:tcPr>
            <w:tcW w:w="899" w:type="pct"/>
            <w:noWrap/>
            <w:vAlign w:val="center"/>
          </w:tcPr>
          <w:p>
            <w:pPr>
              <w:jc w:val="center"/>
              <w:rPr>
                <w:rFonts w:eastAsia="仿宋_GB2312"/>
                <w:bCs/>
                <w:kern w:val="0"/>
                <w:sz w:val="24"/>
              </w:rPr>
            </w:pPr>
            <w:bookmarkStart w:id="341" w:name="_Toc50989784"/>
            <w:bookmarkStart w:id="342" w:name="_Toc50991822"/>
            <w:bookmarkStart w:id="343" w:name="_Toc50990564"/>
            <w:r>
              <w:rPr>
                <w:rFonts w:eastAsia="仿宋_GB2312"/>
                <w:bCs/>
                <w:kern w:val="0"/>
                <w:sz w:val="24"/>
              </w:rPr>
              <w:t>23</w:t>
            </w:r>
            <w:bookmarkEnd w:id="341"/>
            <w:bookmarkEnd w:id="342"/>
            <w:bookmarkEnd w:id="343"/>
          </w:p>
        </w:tc>
        <w:tc>
          <w:tcPr>
            <w:tcW w:w="899" w:type="pct"/>
            <w:noWrap/>
            <w:vAlign w:val="center"/>
          </w:tcPr>
          <w:p>
            <w:pPr>
              <w:jc w:val="center"/>
              <w:rPr>
                <w:rFonts w:eastAsia="仿宋_GB2312"/>
                <w:bCs/>
                <w:kern w:val="0"/>
                <w:sz w:val="24"/>
              </w:rPr>
            </w:pPr>
            <w:bookmarkStart w:id="344" w:name="_Toc50989785"/>
            <w:bookmarkStart w:id="345" w:name="_Toc50990565"/>
            <w:bookmarkStart w:id="346" w:name="_Toc50991823"/>
            <w:r>
              <w:rPr>
                <w:rFonts w:eastAsia="仿宋_GB2312"/>
                <w:bCs/>
                <w:kern w:val="0"/>
                <w:sz w:val="24"/>
              </w:rPr>
              <w:t>6</w:t>
            </w:r>
            <w:bookmarkEnd w:id="344"/>
            <w:bookmarkEnd w:id="345"/>
            <w:bookmarkEnd w:id="346"/>
          </w:p>
        </w:tc>
        <w:tc>
          <w:tcPr>
            <w:tcW w:w="899" w:type="pct"/>
            <w:noWrap/>
            <w:vAlign w:val="center"/>
          </w:tcPr>
          <w:p>
            <w:pPr>
              <w:jc w:val="center"/>
              <w:rPr>
                <w:rFonts w:eastAsia="仿宋_GB2312"/>
                <w:bCs/>
                <w:kern w:val="0"/>
                <w:sz w:val="24"/>
              </w:rPr>
            </w:pPr>
            <w:bookmarkStart w:id="347" w:name="_Toc50989786"/>
            <w:bookmarkStart w:id="348" w:name="_Toc50991824"/>
            <w:bookmarkStart w:id="349" w:name="_Toc50990566"/>
            <w:r>
              <w:rPr>
                <w:rFonts w:eastAsia="仿宋_GB2312"/>
                <w:bCs/>
                <w:kern w:val="0"/>
                <w:sz w:val="24"/>
              </w:rPr>
              <w:t>10</w:t>
            </w:r>
            <w:bookmarkEnd w:id="347"/>
            <w:bookmarkEnd w:id="348"/>
            <w:bookmarkEnd w:id="349"/>
          </w:p>
        </w:tc>
        <w:tc>
          <w:tcPr>
            <w:tcW w:w="899" w:type="pct"/>
            <w:noWrap/>
            <w:vAlign w:val="center"/>
          </w:tcPr>
          <w:p>
            <w:pPr>
              <w:ind w:firstLine="480" w:firstLineChars="200"/>
              <w:rPr>
                <w:rFonts w:eastAsia="仿宋_GB2312"/>
                <w:bCs/>
                <w:kern w:val="0"/>
                <w:sz w:val="24"/>
              </w:rPr>
            </w:pPr>
            <w:r>
              <w:rPr>
                <w:rFonts w:eastAsia="仿宋_GB2312"/>
                <w:bCs/>
                <w:kern w:val="0"/>
                <w:sz w:val="24"/>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402" w:type="pct"/>
            <w:noWrap/>
            <w:vAlign w:val="center"/>
          </w:tcPr>
          <w:p>
            <w:pPr>
              <w:jc w:val="center"/>
              <w:rPr>
                <w:rFonts w:eastAsia="仿宋_GB2312"/>
                <w:bCs/>
                <w:kern w:val="0"/>
                <w:sz w:val="24"/>
              </w:rPr>
            </w:pPr>
            <w:bookmarkStart w:id="350" w:name="_Toc50991825"/>
            <w:bookmarkStart w:id="351" w:name="_Toc50990567"/>
            <w:bookmarkStart w:id="352" w:name="_Toc50989787"/>
            <w:r>
              <w:rPr>
                <w:rFonts w:eastAsia="仿宋_GB2312"/>
                <w:bCs/>
                <w:kern w:val="0"/>
                <w:sz w:val="24"/>
              </w:rPr>
              <w:t>其他岗位</w:t>
            </w:r>
            <w:bookmarkEnd w:id="350"/>
            <w:bookmarkEnd w:id="351"/>
            <w:bookmarkEnd w:id="352"/>
          </w:p>
        </w:tc>
        <w:tc>
          <w:tcPr>
            <w:tcW w:w="899" w:type="pct"/>
            <w:noWrap/>
            <w:vAlign w:val="center"/>
          </w:tcPr>
          <w:p>
            <w:pPr>
              <w:jc w:val="center"/>
              <w:rPr>
                <w:rFonts w:eastAsia="仿宋_GB2312"/>
                <w:bCs/>
                <w:kern w:val="0"/>
                <w:sz w:val="24"/>
              </w:rPr>
            </w:pPr>
            <w:bookmarkStart w:id="353" w:name="_Toc50990568"/>
            <w:bookmarkStart w:id="354" w:name="_Toc50989788"/>
            <w:bookmarkStart w:id="355" w:name="_Toc50991826"/>
            <w:r>
              <w:rPr>
                <w:rFonts w:eastAsia="仿宋_GB2312"/>
                <w:bCs/>
                <w:kern w:val="0"/>
                <w:sz w:val="24"/>
              </w:rPr>
              <w:t>16</w:t>
            </w:r>
            <w:bookmarkEnd w:id="353"/>
            <w:bookmarkEnd w:id="354"/>
            <w:bookmarkEnd w:id="355"/>
          </w:p>
        </w:tc>
        <w:tc>
          <w:tcPr>
            <w:tcW w:w="899" w:type="pct"/>
            <w:noWrap/>
            <w:vAlign w:val="center"/>
          </w:tcPr>
          <w:p>
            <w:pPr>
              <w:jc w:val="center"/>
              <w:rPr>
                <w:rFonts w:eastAsia="仿宋_GB2312"/>
                <w:bCs/>
                <w:kern w:val="0"/>
                <w:sz w:val="24"/>
              </w:rPr>
            </w:pPr>
            <w:bookmarkStart w:id="356" w:name="_Toc50991827"/>
            <w:bookmarkStart w:id="357" w:name="_Toc50989789"/>
            <w:bookmarkStart w:id="358" w:name="_Toc50990569"/>
            <w:r>
              <w:rPr>
                <w:rFonts w:eastAsia="仿宋_GB2312"/>
                <w:bCs/>
                <w:kern w:val="0"/>
                <w:sz w:val="24"/>
              </w:rPr>
              <w:t>2</w:t>
            </w:r>
            <w:bookmarkEnd w:id="356"/>
            <w:bookmarkEnd w:id="357"/>
            <w:bookmarkEnd w:id="358"/>
          </w:p>
        </w:tc>
        <w:tc>
          <w:tcPr>
            <w:tcW w:w="899" w:type="pct"/>
            <w:noWrap/>
            <w:vAlign w:val="center"/>
          </w:tcPr>
          <w:p>
            <w:pPr>
              <w:jc w:val="center"/>
              <w:rPr>
                <w:rFonts w:eastAsia="仿宋_GB2312"/>
                <w:bCs/>
                <w:kern w:val="0"/>
                <w:sz w:val="24"/>
              </w:rPr>
            </w:pPr>
            <w:bookmarkStart w:id="359" w:name="_Toc50990570"/>
            <w:bookmarkStart w:id="360" w:name="_Toc50989790"/>
            <w:bookmarkStart w:id="361" w:name="_Toc50991828"/>
            <w:r>
              <w:rPr>
                <w:rFonts w:eastAsia="仿宋_GB2312"/>
                <w:bCs/>
                <w:kern w:val="0"/>
                <w:sz w:val="24"/>
              </w:rPr>
              <w:t>3</w:t>
            </w:r>
            <w:bookmarkEnd w:id="359"/>
            <w:bookmarkEnd w:id="360"/>
            <w:bookmarkEnd w:id="361"/>
          </w:p>
        </w:tc>
        <w:tc>
          <w:tcPr>
            <w:tcW w:w="899" w:type="pct"/>
            <w:noWrap/>
            <w:vAlign w:val="center"/>
          </w:tcPr>
          <w:p>
            <w:pPr>
              <w:ind w:firstLine="480" w:firstLineChars="200"/>
              <w:rPr>
                <w:rFonts w:eastAsia="仿宋_GB2312"/>
                <w:bCs/>
                <w:kern w:val="0"/>
                <w:sz w:val="24"/>
              </w:rPr>
            </w:pPr>
            <w:r>
              <w:rPr>
                <w:rFonts w:eastAsia="仿宋_GB2312"/>
                <w:bCs/>
                <w:kern w:val="0"/>
                <w:sz w:val="24"/>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1402" w:type="pct"/>
            <w:noWrap/>
            <w:vAlign w:val="center"/>
          </w:tcPr>
          <w:p>
            <w:pPr>
              <w:jc w:val="center"/>
              <w:rPr>
                <w:rFonts w:eastAsia="仿宋_GB2312"/>
                <w:bCs/>
                <w:kern w:val="0"/>
                <w:sz w:val="24"/>
              </w:rPr>
            </w:pPr>
            <w:bookmarkStart w:id="362" w:name="_Toc50989791"/>
            <w:bookmarkStart w:id="363" w:name="_Toc50991829"/>
            <w:bookmarkStart w:id="364" w:name="_Toc50990571"/>
            <w:r>
              <w:rPr>
                <w:rFonts w:eastAsia="仿宋_GB2312"/>
                <w:bCs/>
                <w:kern w:val="0"/>
                <w:sz w:val="24"/>
              </w:rPr>
              <w:t>合计</w:t>
            </w:r>
            <w:bookmarkEnd w:id="362"/>
            <w:bookmarkEnd w:id="363"/>
            <w:bookmarkEnd w:id="364"/>
          </w:p>
        </w:tc>
        <w:tc>
          <w:tcPr>
            <w:tcW w:w="899" w:type="pct"/>
            <w:noWrap/>
            <w:vAlign w:val="center"/>
          </w:tcPr>
          <w:p>
            <w:pPr>
              <w:jc w:val="center"/>
              <w:rPr>
                <w:rFonts w:eastAsia="仿宋_GB2312"/>
                <w:bCs/>
                <w:kern w:val="0"/>
                <w:sz w:val="24"/>
              </w:rPr>
            </w:pPr>
            <w:bookmarkStart w:id="365" w:name="_Toc50989792"/>
            <w:bookmarkStart w:id="366" w:name="_Toc50991830"/>
            <w:bookmarkStart w:id="367" w:name="_Toc50990572"/>
            <w:r>
              <w:rPr>
                <w:rFonts w:eastAsia="仿宋_GB2312"/>
                <w:bCs/>
                <w:kern w:val="0"/>
                <w:sz w:val="24"/>
              </w:rPr>
              <w:t>49</w:t>
            </w:r>
            <w:bookmarkEnd w:id="365"/>
            <w:bookmarkEnd w:id="366"/>
            <w:bookmarkEnd w:id="367"/>
          </w:p>
        </w:tc>
        <w:tc>
          <w:tcPr>
            <w:tcW w:w="899" w:type="pct"/>
            <w:noWrap/>
            <w:vAlign w:val="center"/>
          </w:tcPr>
          <w:p>
            <w:pPr>
              <w:jc w:val="center"/>
              <w:rPr>
                <w:rFonts w:eastAsia="仿宋_GB2312"/>
                <w:bCs/>
                <w:kern w:val="0"/>
                <w:sz w:val="24"/>
              </w:rPr>
            </w:pPr>
            <w:bookmarkStart w:id="368" w:name="_Toc50990573"/>
            <w:bookmarkStart w:id="369" w:name="_Toc50991831"/>
            <w:bookmarkStart w:id="370" w:name="_Toc50989793"/>
            <w:r>
              <w:rPr>
                <w:rFonts w:eastAsia="仿宋_GB2312"/>
                <w:bCs/>
                <w:kern w:val="0"/>
                <w:sz w:val="24"/>
              </w:rPr>
              <w:t>12</w:t>
            </w:r>
            <w:bookmarkEnd w:id="368"/>
            <w:bookmarkEnd w:id="369"/>
            <w:bookmarkEnd w:id="370"/>
          </w:p>
        </w:tc>
        <w:tc>
          <w:tcPr>
            <w:tcW w:w="899" w:type="pct"/>
            <w:noWrap/>
            <w:vAlign w:val="center"/>
          </w:tcPr>
          <w:p>
            <w:pPr>
              <w:jc w:val="center"/>
              <w:rPr>
                <w:rFonts w:eastAsia="仿宋_GB2312"/>
                <w:bCs/>
                <w:kern w:val="0"/>
                <w:sz w:val="24"/>
              </w:rPr>
            </w:pPr>
            <w:bookmarkStart w:id="371" w:name="_Toc50989794"/>
            <w:bookmarkStart w:id="372" w:name="_Toc50991832"/>
            <w:bookmarkStart w:id="373" w:name="_Toc50990574"/>
            <w:r>
              <w:rPr>
                <w:rFonts w:eastAsia="仿宋_GB2312"/>
                <w:bCs/>
                <w:kern w:val="0"/>
                <w:sz w:val="24"/>
              </w:rPr>
              <w:t>19</w:t>
            </w:r>
            <w:bookmarkEnd w:id="371"/>
            <w:bookmarkEnd w:id="372"/>
            <w:bookmarkEnd w:id="373"/>
          </w:p>
        </w:tc>
        <w:tc>
          <w:tcPr>
            <w:tcW w:w="899" w:type="pct"/>
            <w:noWrap/>
            <w:vAlign w:val="center"/>
          </w:tcPr>
          <w:p>
            <w:pPr>
              <w:ind w:firstLine="480" w:firstLineChars="200"/>
              <w:rPr>
                <w:rFonts w:eastAsia="仿宋_GB2312"/>
                <w:bCs/>
                <w:kern w:val="0"/>
                <w:sz w:val="24"/>
              </w:rPr>
            </w:pPr>
            <w:r>
              <w:rPr>
                <w:rFonts w:eastAsia="仿宋_GB2312"/>
                <w:bCs/>
                <w:kern w:val="0"/>
                <w:sz w:val="24"/>
              </w:rPr>
              <w:t>0</w:t>
            </w:r>
          </w:p>
        </w:tc>
      </w:tr>
    </w:tbl>
    <w:p>
      <w:pPr>
        <w:spacing w:line="560" w:lineRule="exact"/>
        <w:ind w:firstLine="640" w:firstLineChars="200"/>
        <w:rPr>
          <w:rFonts w:ascii="仿宋_GB2312" w:eastAsia="仿宋_GB2312"/>
          <w:bCs/>
          <w:sz w:val="32"/>
          <w:szCs w:val="32"/>
        </w:rPr>
      </w:pPr>
      <w:bookmarkStart w:id="374" w:name="_Toc50991833"/>
      <w:bookmarkStart w:id="375" w:name="_Toc50990575"/>
      <w:bookmarkStart w:id="376" w:name="_Toc50989795"/>
      <w:r>
        <w:rPr>
          <w:rFonts w:hint="eastAsia" w:ascii="仿宋_GB2312" w:eastAsia="仿宋_GB2312"/>
          <w:bCs/>
          <w:sz w:val="32"/>
          <w:szCs w:val="32"/>
        </w:rPr>
        <w:t>满意度得分=（49/80）*4+（12/80）*3+（19/80）*2=3.38分。</w:t>
      </w:r>
    </w:p>
    <w:bookmarkEnd w:id="374"/>
    <w:bookmarkEnd w:id="375"/>
    <w:bookmarkEnd w:id="376"/>
    <w:p>
      <w:pPr>
        <w:pStyle w:val="12"/>
        <w:spacing w:line="600" w:lineRule="exact"/>
        <w:ind w:firstLine="640"/>
        <w:rPr>
          <w:rFonts w:ascii="Times New Roman" w:hAnsi="Times New Roman"/>
        </w:rPr>
      </w:pPr>
      <w:bookmarkStart w:id="377" w:name="_Toc50991834"/>
      <w:bookmarkStart w:id="378" w:name="_Toc54202999"/>
      <w:r>
        <w:rPr>
          <w:rFonts w:ascii="Times New Roman" w:hAnsi="Times New Roman"/>
        </w:rPr>
        <w:t>五、主要经验及做法</w:t>
      </w:r>
      <w:bookmarkEnd w:id="377"/>
      <w:bookmarkEnd w:id="378"/>
    </w:p>
    <w:p>
      <w:pPr>
        <w:spacing w:line="600" w:lineRule="exact"/>
        <w:ind w:firstLine="640" w:firstLineChars="200"/>
        <w:outlineLvl w:val="1"/>
        <w:rPr>
          <w:rFonts w:eastAsia="楷体_GB2312"/>
          <w:sz w:val="32"/>
          <w:szCs w:val="32"/>
        </w:rPr>
      </w:pPr>
      <w:bookmarkStart w:id="379" w:name="_Toc54203000"/>
      <w:r>
        <w:rPr>
          <w:rFonts w:eastAsia="楷体_GB2312"/>
          <w:sz w:val="32"/>
          <w:szCs w:val="32"/>
        </w:rPr>
        <w:t>（一）建立重污染应急应对工作模式</w:t>
      </w:r>
      <w:bookmarkEnd w:id="379"/>
    </w:p>
    <w:p>
      <w:pPr>
        <w:spacing w:line="600" w:lineRule="exact"/>
        <w:ind w:firstLine="645"/>
        <w:rPr>
          <w:rFonts w:eastAsia="仿宋_GB2312"/>
          <w:bCs/>
          <w:sz w:val="32"/>
          <w:szCs w:val="32"/>
        </w:rPr>
      </w:pPr>
      <w:r>
        <w:rPr>
          <w:rFonts w:eastAsia="仿宋_GB2312"/>
          <w:bCs/>
          <w:sz w:val="32"/>
          <w:szCs w:val="32"/>
        </w:rPr>
        <w:t>在重污染天气应对期间，项目研究工作组每日解读各地工作情况，分析雾霾成因、研判预测变化趋势，从科学的角度提出并实施了有针对性的措施，形成了“事前研判—事中跟踪—事后评估”的重污染应急应对工作模式，有效提高了项目的工作效率，提升了工作质量。</w:t>
      </w:r>
    </w:p>
    <w:p>
      <w:pPr>
        <w:spacing w:line="600" w:lineRule="exact"/>
        <w:ind w:firstLine="640" w:firstLineChars="200"/>
        <w:outlineLvl w:val="1"/>
        <w:rPr>
          <w:rFonts w:eastAsia="楷体_GB2312"/>
          <w:sz w:val="32"/>
          <w:szCs w:val="32"/>
        </w:rPr>
      </w:pPr>
      <w:bookmarkStart w:id="380" w:name="_Toc54203001"/>
      <w:r>
        <w:rPr>
          <w:rFonts w:eastAsia="楷体_GB2312"/>
          <w:sz w:val="32"/>
          <w:szCs w:val="32"/>
        </w:rPr>
        <w:t>（二）建立专家联合会商机制</w:t>
      </w:r>
      <w:bookmarkEnd w:id="380"/>
    </w:p>
    <w:p>
      <w:pPr>
        <w:spacing w:line="600" w:lineRule="exact"/>
        <w:ind w:firstLine="645"/>
        <w:rPr>
          <w:rFonts w:eastAsia="仿宋_GB2312"/>
          <w:bCs/>
          <w:sz w:val="32"/>
          <w:szCs w:val="32"/>
        </w:rPr>
      </w:pPr>
      <w:r>
        <w:rPr>
          <w:rFonts w:eastAsia="仿宋_GB2312"/>
          <w:bCs/>
          <w:sz w:val="32"/>
          <w:szCs w:val="32"/>
        </w:rPr>
        <w:t>项目实施过程中，建立了</w:t>
      </w:r>
      <w:r>
        <w:rPr>
          <w:rFonts w:hint="eastAsia" w:eastAsia="仿宋_GB2312"/>
          <w:bCs/>
          <w:sz w:val="32"/>
          <w:szCs w:val="32"/>
        </w:rPr>
        <w:t>专家联合</w:t>
      </w:r>
      <w:r>
        <w:rPr>
          <w:rFonts w:eastAsia="仿宋_GB2312"/>
          <w:bCs/>
          <w:sz w:val="32"/>
          <w:szCs w:val="32"/>
        </w:rPr>
        <w:t>会商机制，利用研究组、相关部门专家、行业专家使更多的与项目相关的专家参与到项目中来，可以使项目研究工作组能够更快的结合铜川市情况，综合各方信息，提出管控意见，也使项目研究成果更快应用在空气质量管理部门，</w:t>
      </w:r>
      <w:r>
        <w:rPr>
          <w:rFonts w:hint="eastAsia" w:eastAsia="仿宋_GB2312"/>
          <w:bCs/>
          <w:sz w:val="32"/>
          <w:szCs w:val="32"/>
        </w:rPr>
        <w:t>通过</w:t>
      </w:r>
      <w:r>
        <w:rPr>
          <w:rFonts w:eastAsia="仿宋_GB2312"/>
          <w:bCs/>
          <w:sz w:val="32"/>
          <w:szCs w:val="32"/>
        </w:rPr>
        <w:t>搭建有效的沟通平台，提高了研究组与管控部门的信息交换效率，有利于推动</w:t>
      </w:r>
      <w:r>
        <w:rPr>
          <w:rFonts w:hint="eastAsia" w:eastAsia="仿宋_GB2312"/>
          <w:bCs/>
          <w:sz w:val="32"/>
          <w:szCs w:val="32"/>
        </w:rPr>
        <w:t>管控模式的优化</w:t>
      </w:r>
      <w:r>
        <w:rPr>
          <w:rFonts w:eastAsia="仿宋_GB2312"/>
          <w:bCs/>
          <w:sz w:val="32"/>
          <w:szCs w:val="32"/>
        </w:rPr>
        <w:t>。</w:t>
      </w:r>
    </w:p>
    <w:p>
      <w:pPr>
        <w:spacing w:line="600" w:lineRule="exact"/>
        <w:ind w:firstLine="640" w:firstLineChars="200"/>
        <w:outlineLvl w:val="1"/>
        <w:rPr>
          <w:rFonts w:eastAsia="楷体_GB2312"/>
          <w:sz w:val="32"/>
          <w:szCs w:val="32"/>
        </w:rPr>
      </w:pPr>
      <w:bookmarkStart w:id="381" w:name="_Toc54203002"/>
      <w:r>
        <w:rPr>
          <w:rFonts w:eastAsia="楷体_GB2312"/>
          <w:sz w:val="32"/>
          <w:szCs w:val="32"/>
        </w:rPr>
        <w:t>（三）带动地方科技人员成长</w:t>
      </w:r>
      <w:bookmarkEnd w:id="381"/>
    </w:p>
    <w:p>
      <w:pPr>
        <w:spacing w:line="600" w:lineRule="exact"/>
        <w:ind w:firstLine="645"/>
        <w:rPr>
          <w:rFonts w:eastAsia="仿宋_GB2312"/>
          <w:bCs/>
          <w:sz w:val="32"/>
          <w:szCs w:val="32"/>
        </w:rPr>
      </w:pPr>
      <w:r>
        <w:rPr>
          <w:rFonts w:eastAsia="仿宋_GB2312"/>
          <w:bCs/>
          <w:sz w:val="32"/>
          <w:szCs w:val="32"/>
        </w:rPr>
        <w:t>项目研究组为各区县的研究人员进行了培训，有利于提高区域内研究人员的专业技术水平，为铜川市大气污染防治工作的长期发展奠定了基础，提高了项目的可持续性。</w:t>
      </w:r>
    </w:p>
    <w:p>
      <w:pPr>
        <w:pStyle w:val="12"/>
        <w:spacing w:line="600" w:lineRule="exact"/>
        <w:ind w:firstLine="640"/>
        <w:rPr>
          <w:rFonts w:ascii="Times New Roman" w:hAnsi="Times New Roman"/>
        </w:rPr>
      </w:pPr>
      <w:bookmarkStart w:id="382" w:name="_Toc54203003"/>
      <w:bookmarkStart w:id="383" w:name="_Toc50991835"/>
      <w:r>
        <w:rPr>
          <w:rFonts w:ascii="Times New Roman" w:hAnsi="Times New Roman"/>
        </w:rPr>
        <w:t>六、存在的问题及原因分析</w:t>
      </w:r>
      <w:bookmarkEnd w:id="382"/>
      <w:bookmarkEnd w:id="383"/>
    </w:p>
    <w:p>
      <w:pPr>
        <w:spacing w:line="600" w:lineRule="exact"/>
        <w:ind w:firstLine="640" w:firstLineChars="200"/>
        <w:outlineLvl w:val="1"/>
        <w:rPr>
          <w:rFonts w:eastAsia="仿宋_GB2312"/>
        </w:rPr>
      </w:pPr>
      <w:bookmarkStart w:id="384" w:name="_Toc54203006"/>
      <w:bookmarkStart w:id="385" w:name="_Toc50991839"/>
      <w:r>
        <w:rPr>
          <w:rFonts w:eastAsia="楷体_GB2312"/>
          <w:sz w:val="32"/>
          <w:szCs w:val="32"/>
        </w:rPr>
        <w:t>（一）业务管理水平有待提升</w:t>
      </w:r>
      <w:bookmarkEnd w:id="384"/>
    </w:p>
    <w:p>
      <w:pPr>
        <w:spacing w:line="600" w:lineRule="exact"/>
        <w:ind w:firstLine="640" w:firstLineChars="200"/>
        <w:rPr>
          <w:rFonts w:eastAsia="仿宋_GB2312"/>
          <w:bCs/>
          <w:sz w:val="32"/>
          <w:szCs w:val="32"/>
        </w:rPr>
      </w:pPr>
      <w:r>
        <w:rPr>
          <w:rFonts w:hint="eastAsia" w:eastAsia="仿宋_GB2312"/>
          <w:bCs/>
          <w:sz w:val="32"/>
          <w:szCs w:val="32"/>
        </w:rPr>
        <w:t>项目业务管理制度的缺失体现了项目实施单位内控体系的不健全，由于缺少针对性的业务管理制度导致实际项目管理缺乏合理的约束和规范，进一步导致项目实施过程中缺乏必要的业务检查、监督及考核的问题。</w:t>
      </w:r>
      <w:r>
        <w:rPr>
          <w:rFonts w:eastAsia="仿宋_GB2312"/>
          <w:bCs/>
          <w:sz w:val="32"/>
          <w:szCs w:val="32"/>
        </w:rPr>
        <w:t>同时在项目进度款支付前亦未进行当年的项目阶段成果验收。</w:t>
      </w:r>
    </w:p>
    <w:p>
      <w:pPr>
        <w:spacing w:line="600" w:lineRule="exact"/>
        <w:ind w:firstLine="640" w:firstLineChars="200"/>
        <w:outlineLvl w:val="1"/>
        <w:rPr>
          <w:rFonts w:eastAsia="楷体_GB2312"/>
          <w:sz w:val="32"/>
          <w:szCs w:val="32"/>
        </w:rPr>
      </w:pPr>
      <w:bookmarkStart w:id="386" w:name="_Toc54203007"/>
      <w:r>
        <w:rPr>
          <w:rFonts w:hint="eastAsia" w:eastAsia="楷体_GB2312"/>
          <w:sz w:val="32"/>
          <w:szCs w:val="32"/>
        </w:rPr>
        <w:t>（二）研究成果应用不及时</w:t>
      </w:r>
      <w:bookmarkEnd w:id="386"/>
    </w:p>
    <w:p>
      <w:pPr>
        <w:spacing w:line="600" w:lineRule="exact"/>
        <w:ind w:firstLine="640" w:firstLineChars="200"/>
        <w:rPr>
          <w:rFonts w:ascii="仿宋_GB2312" w:eastAsia="仿宋_GB2312"/>
          <w:bCs/>
          <w:sz w:val="32"/>
          <w:szCs w:val="32"/>
        </w:rPr>
      </w:pPr>
      <w:r>
        <w:rPr>
          <w:rFonts w:hint="eastAsia" w:ascii="仿宋_GB2312" w:eastAsia="仿宋_GB2312"/>
          <w:bCs/>
          <w:sz w:val="32"/>
          <w:szCs w:val="32"/>
        </w:rPr>
        <w:t>研究组与涉及大气防治监督执法工作的各部门之间工作联动性、互动性不够，难以及时提供预警预报信息，导致各级应急响应措施实施有偏差。根据调查问卷结果汇总，36%的调查对象认为大气污染防治研究数据支持力度有所欠缺，防治建议及措施提供及时性不够强，此项问题反映出涉及住建、交警、交通、市政等多个政府监管职能部门在成果运用方面存在问题，导致大气污染防治监督执法部门不能及时将应急响应措施全部落实到位，铜川市铁腕治霾工作组办公室先后下发多项“一市一策”项目专家组提出的有关臭氧污染防治、散煤治理等管控意见及督办通知，反映出对项目研究成果的落实及应用不及时、沟通机制不足的问题。</w:t>
      </w:r>
    </w:p>
    <w:p>
      <w:pPr>
        <w:spacing w:line="600" w:lineRule="exact"/>
        <w:ind w:firstLine="640" w:firstLineChars="200"/>
        <w:outlineLvl w:val="1"/>
        <w:rPr>
          <w:rFonts w:eastAsia="仿宋_GB2312"/>
        </w:rPr>
      </w:pPr>
      <w:bookmarkStart w:id="387" w:name="_Toc54203004"/>
      <w:r>
        <w:rPr>
          <w:rFonts w:eastAsia="楷体_GB2312"/>
          <w:sz w:val="32"/>
          <w:szCs w:val="32"/>
        </w:rPr>
        <w:t>（三）</w:t>
      </w:r>
      <w:bookmarkStart w:id="388" w:name="_Toc53381113"/>
      <w:r>
        <w:rPr>
          <w:rFonts w:eastAsia="楷体_GB2312"/>
          <w:sz w:val="32"/>
          <w:szCs w:val="32"/>
        </w:rPr>
        <w:t>项目资金预算及资金支付与项目实际不匹配</w:t>
      </w:r>
      <w:bookmarkEnd w:id="387"/>
      <w:bookmarkEnd w:id="388"/>
    </w:p>
    <w:p>
      <w:pPr>
        <w:pStyle w:val="12"/>
        <w:spacing w:line="600" w:lineRule="exact"/>
        <w:ind w:firstLine="640"/>
        <w:outlineLvl w:val="9"/>
        <w:rPr>
          <w:rFonts w:ascii="仿宋_GB2312" w:hAnsi="Times New Roman" w:eastAsia="仿宋_GB2312"/>
        </w:rPr>
      </w:pPr>
      <w:bookmarkStart w:id="389" w:name="_Toc54203005"/>
      <w:bookmarkStart w:id="390" w:name="_Toc53381114"/>
      <w:bookmarkStart w:id="391" w:name="_Toc53761879"/>
      <w:bookmarkStart w:id="392" w:name="_Toc53761946"/>
      <w:r>
        <w:rPr>
          <w:rFonts w:hint="eastAsia" w:ascii="仿宋_GB2312" w:hAnsi="Times New Roman" w:eastAsia="仿宋_GB2312"/>
        </w:rPr>
        <w:t>项目实施单位2019年仅申请项目预算资金200万元，但项目本年度应支付合同金额520万元，预算申报资金量与项目实际需要资金量不匹配。项目实际支付资金300万元，其中预算资金为180万元，剩余120万元在其他项目中列支，此外，根据项目合同，该项目应于2019年9月30日进行资金支付，但实际未按照合同进度进行足额支付，存在资金支付与项目实际不匹配的问题。</w:t>
      </w:r>
      <w:bookmarkEnd w:id="389"/>
      <w:bookmarkEnd w:id="390"/>
      <w:bookmarkEnd w:id="391"/>
      <w:bookmarkEnd w:id="392"/>
    </w:p>
    <w:p>
      <w:pPr>
        <w:spacing w:line="600" w:lineRule="exact"/>
        <w:ind w:firstLine="640" w:firstLineChars="200"/>
        <w:outlineLvl w:val="1"/>
        <w:rPr>
          <w:rFonts w:eastAsia="仿宋_GB2312"/>
          <w:bCs/>
        </w:rPr>
      </w:pPr>
      <w:bookmarkStart w:id="393" w:name="_Toc50991836"/>
      <w:bookmarkStart w:id="394" w:name="_Toc54203008"/>
      <w:r>
        <w:rPr>
          <w:rFonts w:eastAsia="楷体_GB2312"/>
          <w:sz w:val="32"/>
          <w:szCs w:val="32"/>
        </w:rPr>
        <w:t>（四）</w:t>
      </w:r>
      <w:bookmarkEnd w:id="393"/>
      <w:bookmarkStart w:id="395" w:name="_Toc50991837"/>
      <w:r>
        <w:rPr>
          <w:rFonts w:eastAsia="楷体_GB2312"/>
          <w:sz w:val="32"/>
          <w:szCs w:val="32"/>
        </w:rPr>
        <w:t>绩效管理规范性不足</w:t>
      </w:r>
      <w:bookmarkEnd w:id="394"/>
    </w:p>
    <w:p>
      <w:pPr>
        <w:pStyle w:val="12"/>
        <w:spacing w:line="600" w:lineRule="exact"/>
        <w:ind w:firstLine="640"/>
        <w:jc w:val="both"/>
        <w:outlineLvl w:val="9"/>
        <w:rPr>
          <w:rFonts w:ascii="仿宋_GB2312" w:hAnsi="Times New Roman" w:eastAsia="仿宋_GB2312"/>
        </w:rPr>
      </w:pPr>
      <w:bookmarkStart w:id="396" w:name="_Toc53381111"/>
      <w:bookmarkStart w:id="397" w:name="_Toc53761942"/>
      <w:bookmarkStart w:id="398" w:name="_Toc54203009"/>
      <w:bookmarkStart w:id="399" w:name="_Toc53761875"/>
      <w:r>
        <w:rPr>
          <w:rFonts w:hint="eastAsia" w:ascii="仿宋_GB2312" w:hAnsi="Times New Roman" w:eastAsia="仿宋_GB2312"/>
        </w:rPr>
        <w:t>项目预算</w:t>
      </w:r>
      <w:bookmarkEnd w:id="395"/>
      <w:r>
        <w:rPr>
          <w:rFonts w:hint="eastAsia" w:ascii="仿宋_GB2312" w:hAnsi="Times New Roman" w:eastAsia="仿宋_GB2312"/>
        </w:rPr>
        <w:t>绩效目标申报能力有待加强</w:t>
      </w:r>
      <w:bookmarkEnd w:id="396"/>
      <w:r>
        <w:rPr>
          <w:rFonts w:hint="eastAsia" w:ascii="仿宋_GB2312" w:hAnsi="Times New Roman" w:eastAsia="仿宋_GB2312"/>
        </w:rPr>
        <w:t>。</w:t>
      </w:r>
      <w:bookmarkStart w:id="400" w:name="_Toc53381112"/>
      <w:r>
        <w:rPr>
          <w:rFonts w:hint="eastAsia" w:ascii="仿宋_GB2312" w:hAnsi="Times New Roman" w:eastAsia="仿宋_GB2312"/>
        </w:rPr>
        <w:t>项目预算绩效管理中存在的问题主要源于项目实施单位预算管理意识淡薄，对预算绩效管理工作的重视程度不高，缺乏预算绩效管理的工作积极性。</w:t>
      </w:r>
      <w:bookmarkEnd w:id="397"/>
      <w:bookmarkEnd w:id="398"/>
      <w:bookmarkEnd w:id="399"/>
    </w:p>
    <w:p>
      <w:pPr>
        <w:pStyle w:val="12"/>
        <w:spacing w:line="600" w:lineRule="exact"/>
        <w:ind w:firstLine="640"/>
        <w:jc w:val="both"/>
        <w:outlineLvl w:val="9"/>
        <w:rPr>
          <w:rFonts w:ascii="仿宋_GB2312" w:hAnsi="Times New Roman" w:eastAsia="仿宋_GB2312"/>
        </w:rPr>
      </w:pPr>
      <w:bookmarkStart w:id="401" w:name="_Toc53761943"/>
      <w:bookmarkStart w:id="402" w:name="_Toc54203010"/>
      <w:bookmarkStart w:id="403" w:name="_Toc53761876"/>
      <w:r>
        <w:rPr>
          <w:rFonts w:hint="eastAsia" w:ascii="仿宋_GB2312" w:hAnsi="Times New Roman" w:eastAsia="仿宋_GB2312"/>
          <w:bCs w:val="0"/>
        </w:rPr>
        <w:t>2019年铜川市生态环境局部门综合预算公开的绩效目标申报表中存在以下问题：数量指标设置不完整，不能全面反映研究项目2019年的各项产出成果；质量指标设置不能清晰反映项目要达到的标准、水平和效果；成本指标未设置指标值；未设置效益指标及满意度指标，无法</w:t>
      </w:r>
      <w:r>
        <w:rPr>
          <w:rFonts w:hint="eastAsia" w:ascii="仿宋_GB2312" w:hAnsi="Times New Roman" w:eastAsia="仿宋_GB2312"/>
        </w:rPr>
        <w:t>衡量项目实际的效益情况。</w:t>
      </w:r>
      <w:bookmarkEnd w:id="400"/>
      <w:bookmarkEnd w:id="401"/>
      <w:bookmarkEnd w:id="402"/>
      <w:bookmarkEnd w:id="403"/>
    </w:p>
    <w:p>
      <w:pPr>
        <w:pStyle w:val="12"/>
        <w:spacing w:line="600" w:lineRule="exact"/>
        <w:ind w:firstLine="640"/>
        <w:jc w:val="both"/>
        <w:outlineLvl w:val="9"/>
        <w:rPr>
          <w:rFonts w:ascii="仿宋_GB2312" w:hAnsi="Times New Roman" w:eastAsia="仿宋_GB2312"/>
        </w:rPr>
      </w:pPr>
      <w:bookmarkStart w:id="404" w:name="_Toc53381115"/>
      <w:bookmarkStart w:id="405" w:name="_Toc50991838"/>
      <w:bookmarkStart w:id="406" w:name="_Hlk50986525"/>
      <w:bookmarkStart w:id="407" w:name="_Toc53761877"/>
      <w:bookmarkStart w:id="408" w:name="_Toc53761944"/>
      <w:bookmarkStart w:id="409" w:name="_Toc54203011"/>
      <w:r>
        <w:rPr>
          <w:rFonts w:hint="eastAsia" w:ascii="仿宋_GB2312" w:hAnsi="Times New Roman" w:eastAsia="仿宋_GB2312"/>
        </w:rPr>
        <w:t>绩效监控管理工作执行不到位</w:t>
      </w:r>
      <w:bookmarkEnd w:id="404"/>
      <w:bookmarkEnd w:id="405"/>
      <w:bookmarkEnd w:id="406"/>
      <w:r>
        <w:rPr>
          <w:rFonts w:hint="eastAsia" w:ascii="仿宋_GB2312" w:hAnsi="Times New Roman" w:eastAsia="仿宋_GB2312"/>
        </w:rPr>
        <w:t>。铜川市生态环境局未根据《关于印发〈铜川市市级部门预算绩效运行监控管理暂行办法〉的通知》（铜财预〔2019〕131号）文件要求开展项目预算绩效运行监控管理工作，主要表现在：未对项目的绩效目标运行情况进行跟踪汇总，未定期采集项目绩效运行信息并汇总分析，对绩效目标运行情况进行跟踪管理和督促检查，且未按时报送绩效运行监控季报和监控报告。</w:t>
      </w:r>
      <w:bookmarkEnd w:id="407"/>
      <w:bookmarkEnd w:id="408"/>
      <w:bookmarkEnd w:id="409"/>
    </w:p>
    <w:bookmarkEnd w:id="385"/>
    <w:p>
      <w:pPr>
        <w:pStyle w:val="12"/>
        <w:spacing w:line="600" w:lineRule="exact"/>
        <w:ind w:firstLine="640"/>
        <w:rPr>
          <w:rFonts w:ascii="Times New Roman" w:hAnsi="Times New Roman"/>
        </w:rPr>
      </w:pPr>
      <w:bookmarkStart w:id="410" w:name="_Toc54203012"/>
      <w:bookmarkStart w:id="411" w:name="_Toc50991846"/>
      <w:bookmarkStart w:id="412" w:name="_Toc53381121"/>
      <w:r>
        <w:rPr>
          <w:rFonts w:ascii="Times New Roman" w:hAnsi="Times New Roman"/>
        </w:rPr>
        <w:t>七、有关建议</w:t>
      </w:r>
      <w:bookmarkEnd w:id="410"/>
      <w:bookmarkEnd w:id="411"/>
      <w:bookmarkEnd w:id="412"/>
    </w:p>
    <w:p>
      <w:pPr>
        <w:spacing w:line="600" w:lineRule="exact"/>
        <w:ind w:firstLine="640" w:firstLineChars="200"/>
        <w:outlineLvl w:val="1"/>
        <w:rPr>
          <w:rFonts w:eastAsia="楷体_GB2312"/>
          <w:sz w:val="32"/>
          <w:szCs w:val="32"/>
        </w:rPr>
      </w:pPr>
      <w:bookmarkStart w:id="413" w:name="_Toc54203014"/>
      <w:bookmarkStart w:id="414" w:name="_Toc50991849"/>
      <w:r>
        <w:rPr>
          <w:rFonts w:eastAsia="楷体_GB2312"/>
          <w:sz w:val="32"/>
          <w:szCs w:val="32"/>
        </w:rPr>
        <w:t>（一）完善部门内部控制体系</w:t>
      </w:r>
      <w:bookmarkEnd w:id="413"/>
      <w:bookmarkEnd w:id="414"/>
    </w:p>
    <w:p>
      <w:pPr>
        <w:spacing w:line="560" w:lineRule="exact"/>
        <w:ind w:firstLine="640" w:firstLineChars="200"/>
        <w:rPr>
          <w:rFonts w:eastAsia="仿宋_GB2312"/>
          <w:bCs/>
          <w:sz w:val="32"/>
          <w:szCs w:val="32"/>
        </w:rPr>
      </w:pPr>
      <w:r>
        <w:rPr>
          <w:rFonts w:eastAsia="仿宋_GB2312"/>
          <w:bCs/>
          <w:sz w:val="32"/>
          <w:szCs w:val="32"/>
        </w:rPr>
        <w:t>建议项目实施单位进一步健全部门内部控制体系，针对一般项目建立系统化业务管理体系，针对重要的项目应制定具有针对性的、规范化的项目管理制度，以制度作为准绳，对项目管理的各个环节进行规范，进一步加强重要项目的管理水平，以及时纠偏与调整项目实施过程中存在的不足，提</w:t>
      </w:r>
      <w:r>
        <w:rPr>
          <w:rFonts w:hint="eastAsia" w:eastAsia="仿宋_GB2312"/>
          <w:bCs/>
          <w:sz w:val="32"/>
          <w:szCs w:val="32"/>
        </w:rPr>
        <w:t>高</w:t>
      </w:r>
      <w:r>
        <w:rPr>
          <w:rFonts w:eastAsia="仿宋_GB2312"/>
          <w:bCs/>
          <w:sz w:val="32"/>
          <w:szCs w:val="32"/>
        </w:rPr>
        <w:t>项目管理水平，更好的保障部门业务管理质量，确保资金落地见效。</w:t>
      </w:r>
    </w:p>
    <w:p>
      <w:pPr>
        <w:spacing w:line="600" w:lineRule="exact"/>
        <w:ind w:firstLine="640" w:firstLineChars="200"/>
        <w:outlineLvl w:val="1"/>
        <w:rPr>
          <w:rFonts w:eastAsia="楷体_GB2312"/>
          <w:sz w:val="32"/>
          <w:szCs w:val="32"/>
        </w:rPr>
      </w:pPr>
      <w:bookmarkStart w:id="415" w:name="_Toc50991853"/>
      <w:bookmarkStart w:id="416" w:name="_Toc54203015"/>
      <w:r>
        <w:rPr>
          <w:rFonts w:eastAsia="楷体_GB2312"/>
          <w:sz w:val="32"/>
          <w:szCs w:val="32"/>
        </w:rPr>
        <w:t>（二）建立健全大气污染防治工作联动机制</w:t>
      </w:r>
      <w:bookmarkEnd w:id="415"/>
      <w:bookmarkEnd w:id="416"/>
    </w:p>
    <w:p>
      <w:pPr>
        <w:spacing w:line="560" w:lineRule="exact"/>
        <w:ind w:firstLine="640" w:firstLineChars="200"/>
        <w:rPr>
          <w:rFonts w:eastAsia="仿宋_GB2312"/>
          <w:bCs/>
          <w:sz w:val="32"/>
          <w:szCs w:val="32"/>
        </w:rPr>
      </w:pPr>
      <w:bookmarkStart w:id="417" w:name="_Toc50990596"/>
      <w:bookmarkStart w:id="418" w:name="_Toc50991854"/>
      <w:r>
        <w:rPr>
          <w:rFonts w:eastAsia="仿宋_GB2312"/>
          <w:bCs/>
          <w:sz w:val="32"/>
          <w:szCs w:val="32"/>
        </w:rPr>
        <w:t>建议各区县、各部门加强与市生态环境局、研究组之间的联系，就项目研究成果的使用情况积极与各使用单位沟通，继续组织相关培训工作，适当扩大培训范围，对研究组的研究成果或发现的问题应尽快纠正、调整，形成各司其职、各负其责、密切配合的大气污染防治工作合力，有效提升大气污染防治工作力度，全力助推铜川市打赢大气污染防治攻坚战</w:t>
      </w:r>
      <w:bookmarkEnd w:id="417"/>
      <w:bookmarkEnd w:id="418"/>
      <w:r>
        <w:rPr>
          <w:rFonts w:eastAsia="仿宋_GB2312"/>
          <w:bCs/>
          <w:sz w:val="32"/>
          <w:szCs w:val="32"/>
        </w:rPr>
        <w:t>，最终为实现“打赢蓝天保卫战”的目标贡献力量。</w:t>
      </w:r>
    </w:p>
    <w:p>
      <w:pPr>
        <w:spacing w:line="600" w:lineRule="exact"/>
        <w:ind w:firstLine="640" w:firstLineChars="200"/>
        <w:outlineLvl w:val="1"/>
        <w:rPr>
          <w:rFonts w:eastAsia="楷体_GB2312"/>
          <w:sz w:val="32"/>
          <w:szCs w:val="32"/>
        </w:rPr>
      </w:pPr>
      <w:bookmarkStart w:id="419" w:name="_Toc54203013"/>
      <w:r>
        <w:rPr>
          <w:rFonts w:eastAsia="楷体_GB2312"/>
          <w:sz w:val="32"/>
          <w:szCs w:val="32"/>
        </w:rPr>
        <w:t>（三）合理化预算编制</w:t>
      </w:r>
      <w:bookmarkEnd w:id="419"/>
    </w:p>
    <w:p>
      <w:pPr>
        <w:spacing w:line="560" w:lineRule="exact"/>
        <w:ind w:firstLine="640" w:firstLineChars="200"/>
        <w:rPr>
          <w:rFonts w:eastAsia="仿宋_GB2312"/>
          <w:bCs/>
          <w:sz w:val="32"/>
          <w:szCs w:val="32"/>
        </w:rPr>
      </w:pPr>
      <w:r>
        <w:rPr>
          <w:rFonts w:hint="eastAsia" w:eastAsia="仿宋_GB2312"/>
          <w:bCs/>
          <w:sz w:val="32"/>
          <w:szCs w:val="32"/>
        </w:rPr>
        <w:t>预算编制时应充分考虑本年支出，按照合同要求、项目开展进度预估项目预算支出数。</w:t>
      </w:r>
      <w:r>
        <w:rPr>
          <w:rFonts w:eastAsia="仿宋_GB2312"/>
          <w:bCs/>
          <w:sz w:val="32"/>
          <w:szCs w:val="32"/>
        </w:rPr>
        <w:t>充分结合项目实际，提高预算编制的科学性、合理性、准确性和可控性。</w:t>
      </w:r>
    </w:p>
    <w:p>
      <w:pPr>
        <w:spacing w:line="600" w:lineRule="exact"/>
        <w:ind w:firstLine="640" w:firstLineChars="200"/>
        <w:outlineLvl w:val="1"/>
        <w:rPr>
          <w:rFonts w:eastAsia="楷体_GB2312"/>
          <w:sz w:val="32"/>
          <w:szCs w:val="32"/>
        </w:rPr>
      </w:pPr>
      <w:bookmarkStart w:id="420" w:name="_Toc50991847"/>
      <w:bookmarkStart w:id="421" w:name="_Toc54203016"/>
      <w:r>
        <w:rPr>
          <w:rFonts w:eastAsia="楷体_GB2312"/>
          <w:sz w:val="32"/>
          <w:szCs w:val="32"/>
        </w:rPr>
        <w:t>（四）提高预算绩效管理</w:t>
      </w:r>
      <w:bookmarkEnd w:id="420"/>
      <w:r>
        <w:rPr>
          <w:rFonts w:eastAsia="楷体_GB2312"/>
          <w:sz w:val="32"/>
          <w:szCs w:val="32"/>
        </w:rPr>
        <w:t>意识</w:t>
      </w:r>
      <w:bookmarkEnd w:id="421"/>
    </w:p>
    <w:p>
      <w:pPr>
        <w:spacing w:line="560" w:lineRule="exact"/>
        <w:ind w:firstLine="640" w:firstLineChars="200"/>
        <w:rPr>
          <w:rFonts w:eastAsia="仿宋_GB2312"/>
          <w:bCs/>
          <w:sz w:val="32"/>
          <w:szCs w:val="32"/>
        </w:rPr>
      </w:pPr>
      <w:bookmarkStart w:id="422" w:name="_Toc50991848"/>
      <w:bookmarkStart w:id="423" w:name="_Toc50990590"/>
      <w:r>
        <w:rPr>
          <w:rFonts w:eastAsia="仿宋_GB2312"/>
          <w:bCs/>
          <w:sz w:val="32"/>
          <w:szCs w:val="32"/>
        </w:rPr>
        <w:t>进一步强化预算绩效管理意识，推动部门建立全面预算绩效管理的理念，重视绩效目标的申报工作，将项目管理与预算绩效管理有效衔接，建立健全绩效管理机制，将预算绩效目</w:t>
      </w:r>
      <w:r>
        <w:rPr>
          <w:rFonts w:hint="eastAsia" w:eastAsia="仿宋_GB2312"/>
          <w:bCs/>
          <w:sz w:val="32"/>
          <w:szCs w:val="32"/>
        </w:rPr>
        <w:t>标</w:t>
      </w:r>
      <w:r>
        <w:rPr>
          <w:rFonts w:eastAsia="仿宋_GB2312"/>
          <w:bCs/>
          <w:sz w:val="32"/>
          <w:szCs w:val="32"/>
        </w:rPr>
        <w:t>管理贯穿整个项目期间，</w:t>
      </w:r>
      <w:bookmarkEnd w:id="422"/>
      <w:bookmarkEnd w:id="423"/>
      <w:r>
        <w:rPr>
          <w:rFonts w:eastAsia="仿宋_GB2312"/>
          <w:bCs/>
          <w:sz w:val="32"/>
          <w:szCs w:val="32"/>
        </w:rPr>
        <w:t>按要求对项目的绩效目标运行情况进行全程的跟踪汇总，定期采集项目绩效运行信息并汇总分析，对绩效目标运行情况进行跟踪管理和督促检查，按时完成绩效运行监控季报和监控报告，确保发现并整改运行偏离情况，确保绩效目标的顺利实现，提升财政资金使用效益。</w:t>
      </w:r>
    </w:p>
    <w:p>
      <w:pPr>
        <w:spacing w:line="560" w:lineRule="exact"/>
        <w:ind w:firstLine="640" w:firstLineChars="200"/>
        <w:rPr>
          <w:rFonts w:eastAsia="仿宋_GB2312"/>
          <w:bCs/>
          <w:sz w:val="32"/>
          <w:szCs w:val="32"/>
        </w:rPr>
      </w:pPr>
    </w:p>
    <w:p>
      <w:pPr>
        <w:spacing w:line="560" w:lineRule="exact"/>
        <w:ind w:left="1557" w:leftChars="303" w:hanging="921" w:hangingChars="288"/>
        <w:rPr>
          <w:rFonts w:ascii="仿宋_GB2312" w:eastAsia="仿宋_GB2312"/>
          <w:bCs/>
          <w:sz w:val="32"/>
          <w:szCs w:val="32"/>
        </w:rPr>
      </w:pPr>
      <w:bookmarkStart w:id="424" w:name="_Toc16807"/>
      <w:bookmarkStart w:id="425" w:name="_Toc50991857"/>
      <w:bookmarkStart w:id="426" w:name="_Toc8116"/>
      <w:r>
        <w:rPr>
          <w:rFonts w:hint="eastAsia" w:ascii="仿宋_GB2312" w:eastAsia="仿宋_GB2312"/>
          <w:sz w:val="32"/>
          <w:szCs w:val="32"/>
        </w:rPr>
        <w:t>附件：2019年度汾渭平原铜川市大气污染防治“一市一策”跟踪研究项目支出绩效评价指标体系及打分表</w:t>
      </w:r>
    </w:p>
    <w:bookmarkEnd w:id="424"/>
    <w:bookmarkEnd w:id="425"/>
    <w:bookmarkEnd w:id="426"/>
    <w:p>
      <w:pPr>
        <w:ind w:firstLine="640" w:firstLineChars="200"/>
        <w:rPr>
          <w:rFonts w:eastAsia="仿宋_GB2312"/>
          <w:bCs/>
          <w:sz w:val="32"/>
          <w:szCs w:val="32"/>
        </w:rPr>
        <w:sectPr>
          <w:footerReference r:id="rId6" w:type="default"/>
          <w:pgSz w:w="11906" w:h="16838"/>
          <w:pgMar w:top="2098" w:right="1474" w:bottom="1985" w:left="1588" w:header="567" w:footer="1644" w:gutter="0"/>
          <w:pgNumType w:start="1"/>
          <w:cols w:space="425" w:num="1"/>
          <w:docGrid w:type="lines" w:linePitch="312" w:charSpace="0"/>
        </w:sectPr>
      </w:pPr>
    </w:p>
    <w:p>
      <w:pPr>
        <w:rPr>
          <w:rFonts w:eastAsia="黑体"/>
          <w:bCs/>
          <w:sz w:val="32"/>
          <w:szCs w:val="32"/>
        </w:rPr>
      </w:pPr>
      <w:r>
        <w:rPr>
          <w:rFonts w:eastAsia="黑体"/>
          <w:bCs/>
          <w:sz w:val="32"/>
          <w:szCs w:val="32"/>
        </w:rPr>
        <w:t>附件</w:t>
      </w:r>
    </w:p>
    <w:p>
      <w:pPr>
        <w:spacing w:line="660" w:lineRule="exact"/>
        <w:jc w:val="center"/>
        <w:rPr>
          <w:rFonts w:ascii="方正小标宋简体" w:eastAsia="方正小标宋简体"/>
          <w:bCs/>
          <w:sz w:val="44"/>
          <w:szCs w:val="44"/>
        </w:rPr>
      </w:pPr>
      <w:r>
        <w:rPr>
          <w:rFonts w:hint="eastAsia" w:ascii="方正小标宋简体" w:eastAsia="方正小标宋简体"/>
          <w:bCs/>
          <w:sz w:val="44"/>
          <w:szCs w:val="44"/>
        </w:rPr>
        <w:t>2019年度汾渭平原铜川市大气污染防治“一市一策”</w:t>
      </w:r>
    </w:p>
    <w:p>
      <w:pPr>
        <w:spacing w:line="660" w:lineRule="exact"/>
        <w:jc w:val="center"/>
        <w:rPr>
          <w:rFonts w:ascii="方正小标宋简体" w:eastAsia="方正小标宋简体"/>
          <w:bCs/>
          <w:sz w:val="44"/>
          <w:szCs w:val="44"/>
        </w:rPr>
      </w:pPr>
      <w:r>
        <w:rPr>
          <w:rFonts w:hint="eastAsia" w:ascii="方正小标宋简体" w:eastAsia="方正小标宋简体"/>
          <w:bCs/>
          <w:sz w:val="44"/>
          <w:szCs w:val="44"/>
        </w:rPr>
        <w:t>跟踪研究项目支出绩效评价指标体系及打分表</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780"/>
        <w:gridCol w:w="1177"/>
        <w:gridCol w:w="1482"/>
        <w:gridCol w:w="2422"/>
        <w:gridCol w:w="3889"/>
        <w:gridCol w:w="2795"/>
        <w:gridCol w:w="686"/>
        <w:gridCol w:w="831"/>
      </w:tblGrid>
      <w:tr>
        <w:tblPrEx>
          <w:tblCellMar>
            <w:top w:w="0" w:type="dxa"/>
            <w:left w:w="108" w:type="dxa"/>
            <w:bottom w:w="0" w:type="dxa"/>
            <w:right w:w="108" w:type="dxa"/>
          </w:tblCellMar>
        </w:tblPrEx>
        <w:trPr>
          <w:cantSplit/>
          <w:trHeight w:val="20" w:hRule="atLeast"/>
          <w:tblHeader/>
        </w:trPr>
        <w:tc>
          <w:tcPr>
            <w:tcW w:w="245"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一级指标</w:t>
            </w:r>
          </w:p>
        </w:tc>
        <w:tc>
          <w:tcPr>
            <w:tcW w:w="264"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二级指标</w:t>
            </w:r>
          </w:p>
        </w:tc>
        <w:tc>
          <w:tcPr>
            <w:tcW w:w="398"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三级指标</w:t>
            </w:r>
          </w:p>
        </w:tc>
        <w:tc>
          <w:tcPr>
            <w:tcW w:w="501"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四级指标</w:t>
            </w:r>
          </w:p>
        </w:tc>
        <w:tc>
          <w:tcPr>
            <w:tcW w:w="819"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指标解释</w:t>
            </w:r>
          </w:p>
        </w:tc>
        <w:tc>
          <w:tcPr>
            <w:tcW w:w="1315"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指标说明</w:t>
            </w:r>
          </w:p>
        </w:tc>
        <w:tc>
          <w:tcPr>
            <w:tcW w:w="945"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评价标准</w:t>
            </w:r>
          </w:p>
        </w:tc>
        <w:tc>
          <w:tcPr>
            <w:tcW w:w="232"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分值</w:t>
            </w:r>
          </w:p>
        </w:tc>
        <w:tc>
          <w:tcPr>
            <w:tcW w:w="281" w:type="pct"/>
            <w:shd w:val="clear" w:color="000000" w:fill="FFFFFF"/>
            <w:vAlign w:val="center"/>
          </w:tcPr>
          <w:p>
            <w:pPr>
              <w:widowControl/>
              <w:jc w:val="center"/>
              <w:rPr>
                <w:rFonts w:eastAsia="仿宋_GB2312"/>
                <w:b/>
                <w:bCs/>
                <w:color w:val="000000"/>
                <w:kern w:val="0"/>
                <w:sz w:val="18"/>
                <w:szCs w:val="18"/>
              </w:rPr>
            </w:pPr>
            <w:r>
              <w:rPr>
                <w:rFonts w:eastAsia="仿宋_GB2312"/>
                <w:b/>
                <w:bCs/>
                <w:color w:val="000000"/>
                <w:kern w:val="0"/>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决策　（15分）</w:t>
            </w: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项目立项（4分）　</w:t>
            </w: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立项依据充分性</w:t>
            </w:r>
          </w:p>
          <w:p>
            <w:pPr>
              <w:widowControl/>
              <w:jc w:val="center"/>
              <w:rPr>
                <w:rFonts w:eastAsia="仿宋_GB2312"/>
                <w:color w:val="000000"/>
                <w:kern w:val="0"/>
                <w:sz w:val="18"/>
                <w:szCs w:val="18"/>
              </w:rPr>
            </w:pPr>
            <w:r>
              <w:rPr>
                <w:rFonts w:eastAsia="仿宋_GB2312"/>
                <w:color w:val="000000"/>
                <w:kern w:val="0"/>
                <w:sz w:val="18"/>
                <w:szCs w:val="18"/>
              </w:rPr>
              <w:t>（2分)</w:t>
            </w:r>
          </w:p>
        </w:tc>
        <w:tc>
          <w:tcPr>
            <w:tcW w:w="501" w:type="pct"/>
            <w:shd w:val="clear" w:color="000000" w:fill="FFFFFF"/>
            <w:vAlign w:val="center"/>
          </w:tcPr>
          <w:p>
            <w:pPr>
              <w:rPr>
                <w:rFonts w:eastAsia="仿宋_GB2312"/>
                <w:color w:val="000000"/>
                <w:kern w:val="0"/>
                <w:sz w:val="18"/>
                <w:szCs w:val="18"/>
              </w:rPr>
            </w:pP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项目立项是否符合法律法规、相关政策、发展规划以及部门职责，用以反映和考核项目立项依据情况。</w:t>
            </w:r>
          </w:p>
        </w:tc>
        <w:tc>
          <w:tcPr>
            <w:tcW w:w="131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评价要点：</w:t>
            </w:r>
          </w:p>
          <w:p>
            <w:pPr>
              <w:widowControl/>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项目立项是否符合国家法律法规、国民经济发展规划和相关政策；</w:t>
            </w:r>
          </w:p>
          <w:p>
            <w:pPr>
              <w:widowControl/>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项目立项是否符合行业发展规划和政策要求；</w:t>
            </w:r>
          </w:p>
          <w:p>
            <w:pPr>
              <w:widowControl/>
              <w:rPr>
                <w:rFonts w:eastAsia="仿宋_GB2312"/>
                <w:color w:val="000000"/>
                <w:kern w:val="0"/>
                <w:sz w:val="18"/>
                <w:szCs w:val="18"/>
              </w:rPr>
            </w:pPr>
            <w:r>
              <w:rPr>
                <w:rFonts w:hint="eastAsia" w:eastAsia="仿宋_GB2312" w:cs="宋体"/>
                <w:color w:val="000000"/>
                <w:kern w:val="0"/>
                <w:sz w:val="18"/>
                <w:szCs w:val="18"/>
              </w:rPr>
              <w:t>③</w:t>
            </w:r>
            <w:r>
              <w:rPr>
                <w:rFonts w:hint="eastAsia" w:eastAsia="仿宋_GB2312"/>
                <w:color w:val="000000"/>
                <w:kern w:val="0"/>
                <w:sz w:val="18"/>
                <w:szCs w:val="18"/>
              </w:rPr>
              <w:t>项目立项是否与部门职责范围相符，属于部门履职所需；</w:t>
            </w:r>
          </w:p>
          <w:p>
            <w:pPr>
              <w:widowControl/>
              <w:rPr>
                <w:rFonts w:eastAsia="仿宋_GB2312"/>
                <w:color w:val="000000"/>
                <w:kern w:val="0"/>
                <w:sz w:val="18"/>
                <w:szCs w:val="18"/>
              </w:rPr>
            </w:pPr>
            <w:r>
              <w:rPr>
                <w:rFonts w:hint="eastAsia" w:eastAsia="仿宋_GB2312" w:cs="宋体"/>
                <w:color w:val="000000"/>
                <w:kern w:val="0"/>
                <w:sz w:val="18"/>
                <w:szCs w:val="18"/>
              </w:rPr>
              <w:t>④</w:t>
            </w:r>
            <w:r>
              <w:rPr>
                <w:rFonts w:hint="eastAsia" w:eastAsia="仿宋_GB2312"/>
                <w:color w:val="000000"/>
                <w:kern w:val="0"/>
                <w:sz w:val="18"/>
                <w:szCs w:val="18"/>
              </w:rPr>
              <w:t>项目是否属于公共财政支持范围；</w:t>
            </w:r>
          </w:p>
          <w:p>
            <w:pPr>
              <w:rPr>
                <w:rFonts w:eastAsia="仿宋_GB2312"/>
                <w:color w:val="000000"/>
                <w:kern w:val="0"/>
                <w:sz w:val="18"/>
                <w:szCs w:val="18"/>
              </w:rPr>
            </w:pPr>
            <w:r>
              <w:rPr>
                <w:rFonts w:hint="eastAsia" w:eastAsia="仿宋_GB2312" w:cs="宋体"/>
                <w:color w:val="000000"/>
                <w:kern w:val="0"/>
                <w:sz w:val="18"/>
                <w:szCs w:val="18"/>
              </w:rPr>
              <w:t>⑤</w:t>
            </w:r>
            <w:r>
              <w:rPr>
                <w:rFonts w:hint="eastAsia" w:eastAsia="仿宋_GB2312"/>
                <w:color w:val="000000"/>
                <w:kern w:val="0"/>
                <w:sz w:val="18"/>
                <w:szCs w:val="18"/>
              </w:rPr>
              <w:t>项目是否与相关部门同类项目或部门内部相关项目重复。</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该指标根据指标说明项，缺少任一项扣减本指标分值的20%，哪项不完整或不规范在20%以内适度扣分。扣完为止。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　</w:t>
            </w:r>
          </w:p>
          <w:p>
            <w:pPr>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p>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2"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立项程序规范性</w:t>
            </w:r>
          </w:p>
          <w:p>
            <w:pPr>
              <w:widowControl/>
              <w:jc w:val="center"/>
              <w:rPr>
                <w:rFonts w:eastAsia="仿宋_GB2312"/>
                <w:color w:val="000000"/>
                <w:kern w:val="0"/>
                <w:sz w:val="18"/>
                <w:szCs w:val="18"/>
              </w:rPr>
            </w:pPr>
            <w:r>
              <w:rPr>
                <w:rFonts w:eastAsia="仿宋_GB2312"/>
                <w:color w:val="000000"/>
                <w:kern w:val="0"/>
                <w:sz w:val="18"/>
                <w:szCs w:val="18"/>
              </w:rPr>
              <w:t>(2分）</w:t>
            </w:r>
          </w:p>
        </w:tc>
        <w:tc>
          <w:tcPr>
            <w:tcW w:w="501" w:type="pct"/>
            <w:shd w:val="clear" w:color="000000" w:fill="FFFFFF"/>
            <w:vAlign w:val="center"/>
          </w:tcPr>
          <w:p>
            <w:pPr>
              <w:rPr>
                <w:rFonts w:eastAsia="仿宋_GB2312"/>
                <w:color w:val="000000"/>
                <w:kern w:val="0"/>
                <w:sz w:val="18"/>
                <w:szCs w:val="18"/>
              </w:rPr>
            </w:pP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项目申请、设立过程是否符合相关要求，用以反映和考核项目立项的规范情况。</w:t>
            </w:r>
          </w:p>
        </w:tc>
        <w:tc>
          <w:tcPr>
            <w:tcW w:w="131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评价要点：</w:t>
            </w:r>
          </w:p>
          <w:p>
            <w:pPr>
              <w:rPr>
                <w:rFonts w:eastAsia="仿宋_GB2312"/>
                <w:color w:val="000000"/>
                <w:kern w:val="0"/>
                <w:sz w:val="18"/>
                <w:szCs w:val="18"/>
              </w:rPr>
            </w:pPr>
            <w:r>
              <w:rPr>
                <w:rFonts w:hint="eastAsia" w:eastAsia="仿宋_GB2312"/>
                <w:color w:val="000000"/>
                <w:kern w:val="0"/>
                <w:sz w:val="18"/>
                <w:szCs w:val="18"/>
              </w:rPr>
              <w:t>项目事前是否已经过必要的可行性研究、专家论证、风险评估、绩效评估、集体决策。</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项目立项符合指标说明项，得满分；否则，不得分。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绩效目标（5分）　</w:t>
            </w: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绩效目标合理性（2.5分）</w:t>
            </w:r>
          </w:p>
        </w:tc>
        <w:tc>
          <w:tcPr>
            <w:tcW w:w="501" w:type="pct"/>
            <w:shd w:val="clear" w:color="000000" w:fill="FFFFFF"/>
            <w:vAlign w:val="center"/>
          </w:tcPr>
          <w:p>
            <w:pPr>
              <w:rPr>
                <w:rFonts w:eastAsia="仿宋_GB2312"/>
                <w:color w:val="000000"/>
                <w:kern w:val="0"/>
                <w:sz w:val="18"/>
                <w:szCs w:val="18"/>
              </w:rPr>
            </w:pP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项目所设定的绩效目标是否依据充分，是否符合客观实际，用以反映和考核项目绩效目标与项目实施的相符情况。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　</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项目是否有绩效目标；</w:t>
            </w:r>
          </w:p>
          <w:p>
            <w:pPr>
              <w:widowControl/>
              <w:jc w:val="left"/>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项目绩效目标与实际工作内容是否具有相关性；</w:t>
            </w:r>
          </w:p>
          <w:p>
            <w:pPr>
              <w:widowControl/>
              <w:jc w:val="left"/>
              <w:rPr>
                <w:rFonts w:eastAsia="仿宋_GB2312"/>
                <w:color w:val="000000"/>
                <w:kern w:val="0"/>
                <w:sz w:val="18"/>
                <w:szCs w:val="18"/>
              </w:rPr>
            </w:pPr>
            <w:r>
              <w:rPr>
                <w:rFonts w:hint="eastAsia" w:eastAsia="仿宋_GB2312" w:cs="宋体"/>
                <w:color w:val="000000"/>
                <w:kern w:val="0"/>
                <w:sz w:val="18"/>
                <w:szCs w:val="18"/>
              </w:rPr>
              <w:t>③</w:t>
            </w:r>
            <w:r>
              <w:rPr>
                <w:rFonts w:hint="eastAsia" w:eastAsia="仿宋_GB2312"/>
                <w:color w:val="000000"/>
                <w:kern w:val="0"/>
                <w:sz w:val="18"/>
                <w:szCs w:val="18"/>
              </w:rPr>
              <w:t>项目预期产出效益和效果是否符合正常的业绩水平。</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该指标根据指标说明项，缺少任一项扣减本指标分值的33%，哪项不完整或不规范在33%以内适度扣分。扣完为止。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2.5</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2"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绩效指标明确性（2.5分）</w:t>
            </w:r>
          </w:p>
        </w:tc>
        <w:tc>
          <w:tcPr>
            <w:tcW w:w="501" w:type="pct"/>
            <w:shd w:val="clear" w:color="000000" w:fill="FFFFFF"/>
            <w:vAlign w:val="center"/>
          </w:tcPr>
          <w:p>
            <w:pPr>
              <w:rPr>
                <w:rFonts w:eastAsia="仿宋_GB2312"/>
                <w:color w:val="000000"/>
                <w:kern w:val="0"/>
                <w:sz w:val="18"/>
                <w:szCs w:val="18"/>
              </w:rPr>
            </w:pP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依据绩效目标设定的绩效指标是否清晰、细化、可衡量等，用以反映和考核项目绩效目标的明细化情况。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themeColor="text1"/>
                <w:kern w:val="0"/>
                <w:sz w:val="18"/>
                <w:szCs w:val="18"/>
                <w14:textFill>
                  <w14:solidFill>
                    <w14:schemeClr w14:val="tx1"/>
                  </w14:solidFill>
                </w14:textFill>
              </w:rPr>
            </w:pPr>
            <w:r>
              <w:rPr>
                <w:rFonts w:hint="eastAsia" w:eastAsia="仿宋_GB2312" w:cs="宋体"/>
                <w:color w:val="000000" w:themeColor="text1"/>
                <w:kern w:val="0"/>
                <w:sz w:val="18"/>
                <w:szCs w:val="18"/>
                <w14:textFill>
                  <w14:solidFill>
                    <w14:schemeClr w14:val="tx1"/>
                  </w14:solidFill>
                </w14:textFill>
              </w:rPr>
              <w:t>①</w:t>
            </w:r>
            <w:r>
              <w:rPr>
                <w:rFonts w:hint="eastAsia" w:eastAsia="仿宋_GB2312"/>
                <w:color w:val="000000" w:themeColor="text1"/>
                <w:kern w:val="0"/>
                <w:sz w:val="18"/>
                <w:szCs w:val="18"/>
                <w14:textFill>
                  <w14:solidFill>
                    <w14:schemeClr w14:val="tx1"/>
                  </w14:solidFill>
                </w14:textFill>
              </w:rPr>
              <w:t>是否将项目绩效目标细化分解为具体的绩效指标；</w:t>
            </w:r>
          </w:p>
          <w:p>
            <w:pPr>
              <w:widowControl/>
              <w:jc w:val="left"/>
              <w:rPr>
                <w:rFonts w:eastAsia="仿宋_GB2312"/>
                <w:color w:val="000000" w:themeColor="text1"/>
                <w:kern w:val="0"/>
                <w:sz w:val="18"/>
                <w:szCs w:val="18"/>
                <w14:textFill>
                  <w14:solidFill>
                    <w14:schemeClr w14:val="tx1"/>
                  </w14:solidFill>
                </w14:textFill>
              </w:rPr>
            </w:pPr>
            <w:r>
              <w:rPr>
                <w:rFonts w:hint="eastAsia" w:eastAsia="仿宋_GB2312" w:cs="宋体"/>
                <w:color w:val="000000" w:themeColor="text1"/>
                <w:kern w:val="0"/>
                <w:sz w:val="18"/>
                <w:szCs w:val="18"/>
                <w14:textFill>
                  <w14:solidFill>
                    <w14:schemeClr w14:val="tx1"/>
                  </w14:solidFill>
                </w14:textFill>
              </w:rPr>
              <w:t>②</w:t>
            </w:r>
            <w:r>
              <w:rPr>
                <w:rFonts w:hint="eastAsia" w:eastAsia="仿宋_GB2312"/>
                <w:color w:val="000000" w:themeColor="text1"/>
                <w:kern w:val="0"/>
                <w:sz w:val="18"/>
                <w:szCs w:val="18"/>
                <w14:textFill>
                  <w14:solidFill>
                    <w14:schemeClr w14:val="tx1"/>
                  </w14:solidFill>
                </w14:textFill>
              </w:rPr>
              <w:t>是否通过清晰、可衡量的指标值予以体现；</w:t>
            </w:r>
          </w:p>
          <w:p>
            <w:pPr>
              <w:jc w:val="left"/>
              <w:rPr>
                <w:rFonts w:eastAsia="仿宋_GB2312"/>
                <w:color w:val="000000"/>
                <w:kern w:val="0"/>
                <w:sz w:val="18"/>
                <w:szCs w:val="18"/>
              </w:rPr>
            </w:pPr>
            <w:r>
              <w:rPr>
                <w:rFonts w:hint="eastAsia" w:eastAsia="仿宋_GB2312" w:cs="宋体"/>
                <w:color w:val="000000" w:themeColor="text1"/>
                <w:kern w:val="0"/>
                <w:sz w:val="18"/>
                <w:szCs w:val="18"/>
                <w14:textFill>
                  <w14:solidFill>
                    <w14:schemeClr w14:val="tx1"/>
                  </w14:solidFill>
                </w14:textFill>
              </w:rPr>
              <w:t>③</w:t>
            </w:r>
            <w:r>
              <w:rPr>
                <w:rFonts w:hint="eastAsia" w:eastAsia="仿宋_GB2312"/>
                <w:color w:val="000000" w:themeColor="text1"/>
                <w:kern w:val="0"/>
                <w:sz w:val="18"/>
                <w:szCs w:val="18"/>
                <w14:textFill>
                  <w14:solidFill>
                    <w14:schemeClr w14:val="tx1"/>
                  </w14:solidFill>
                </w14:textFill>
              </w:rPr>
              <w:t>是否与项目目标任务数或计划数相对应。</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该指标根据指标说明项，缺少任一项扣减本指标分值的33%，哪项不完整或不规范在33%以内适度扣分。扣完为止。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2.5</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资金投入（6分）</w:t>
            </w: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预算编制科学性</w:t>
            </w:r>
          </w:p>
          <w:p>
            <w:pPr>
              <w:widowControl/>
              <w:jc w:val="center"/>
              <w:rPr>
                <w:rFonts w:eastAsia="仿宋_GB2312"/>
                <w:color w:val="000000"/>
                <w:kern w:val="0"/>
                <w:sz w:val="18"/>
                <w:szCs w:val="18"/>
              </w:rPr>
            </w:pPr>
            <w:r>
              <w:rPr>
                <w:rFonts w:eastAsia="仿宋_GB2312"/>
                <w:color w:val="000000"/>
                <w:kern w:val="0"/>
                <w:sz w:val="18"/>
                <w:szCs w:val="18"/>
              </w:rPr>
              <w:t>（3分）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预算内容与项目内容是否匹配；</w:t>
            </w:r>
          </w:p>
          <w:p>
            <w:pPr>
              <w:widowControl/>
              <w:jc w:val="left"/>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预算额度测算依据是否充分，是否按照标准编制；</w:t>
            </w:r>
          </w:p>
          <w:p>
            <w:pPr>
              <w:widowControl/>
              <w:jc w:val="left"/>
              <w:rPr>
                <w:rFonts w:eastAsia="仿宋_GB2312"/>
                <w:color w:val="000000"/>
                <w:kern w:val="0"/>
                <w:sz w:val="18"/>
                <w:szCs w:val="18"/>
              </w:rPr>
            </w:pPr>
            <w:r>
              <w:rPr>
                <w:rFonts w:hint="eastAsia" w:eastAsia="仿宋_GB2312" w:cs="宋体"/>
                <w:color w:val="000000"/>
                <w:kern w:val="0"/>
                <w:sz w:val="18"/>
                <w:szCs w:val="18"/>
              </w:rPr>
              <w:t>③</w:t>
            </w:r>
            <w:r>
              <w:rPr>
                <w:rFonts w:hint="eastAsia" w:eastAsia="仿宋_GB2312"/>
                <w:color w:val="000000"/>
                <w:kern w:val="0"/>
                <w:sz w:val="18"/>
                <w:szCs w:val="18"/>
              </w:rPr>
              <w:t>预算确定的项目投资额或资金量是否与工作任务相匹配。</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该指标根据指标说明项，缺少任一项扣减本指标分值的33%，哪项不完整或不规范在33%以内适度扣分。扣完为止。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3</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资金分配合理性</w:t>
            </w:r>
          </w:p>
          <w:p>
            <w:pPr>
              <w:widowControl/>
              <w:jc w:val="center"/>
              <w:rPr>
                <w:rFonts w:eastAsia="仿宋_GB2312"/>
                <w:color w:val="000000"/>
                <w:kern w:val="0"/>
                <w:sz w:val="18"/>
                <w:szCs w:val="18"/>
              </w:rPr>
            </w:pPr>
            <w:r>
              <w:rPr>
                <w:rFonts w:eastAsia="仿宋_GB2312"/>
                <w:color w:val="000000"/>
                <w:kern w:val="0"/>
                <w:sz w:val="18"/>
                <w:szCs w:val="18"/>
              </w:rPr>
              <w:t>（3分）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p>
            <w:pPr>
              <w:widowControl/>
              <w:rPr>
                <w:rFonts w:eastAsia="仿宋_GB2312"/>
                <w:color w:val="000000"/>
                <w:kern w:val="0"/>
                <w:sz w:val="18"/>
                <w:szCs w:val="18"/>
              </w:rPr>
            </w:pPr>
            <w:r>
              <w:rPr>
                <w:rFonts w:hint="eastAsia" w:eastAsia="仿宋_GB2312"/>
                <w:color w:val="000000"/>
                <w:kern w:val="0"/>
                <w:sz w:val="18"/>
                <w:szCs w:val="18"/>
              </w:rPr>
              <w:t>　</w:t>
            </w:r>
          </w:p>
          <w:p>
            <w:pPr>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项目预算资金分配是否有测算依据，与补助单位或地方实际是否相适应，用以反映和考核项目预算资金分配的科学性、合理性情况。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sz w:val="18"/>
                <w:szCs w:val="18"/>
              </w:rPr>
            </w:pPr>
            <w:r>
              <w:rPr>
                <w:rFonts w:hint="eastAsia" w:eastAsia="仿宋_GB2312" w:cs="宋体"/>
                <w:sz w:val="18"/>
                <w:szCs w:val="18"/>
              </w:rPr>
              <w:t>①</w:t>
            </w:r>
            <w:r>
              <w:rPr>
                <w:rFonts w:hint="eastAsia" w:eastAsia="仿宋_GB2312"/>
                <w:sz w:val="18"/>
                <w:szCs w:val="18"/>
              </w:rPr>
              <w:t>预算资金分配依据是否充分；</w:t>
            </w:r>
          </w:p>
          <w:p>
            <w:pPr>
              <w:jc w:val="left"/>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资金分配额度是否合理，与项目单位或地方实际是否相适应。</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该指标根据指标说明项，缺少任一项扣减本指标分值的50%，哪项不完整或不规范在50%以内适度扣分。扣完为止。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3</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过程（20分）</w:t>
            </w: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资金管理（10分）</w:t>
            </w: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资金到位率</w:t>
            </w:r>
          </w:p>
          <w:p>
            <w:pPr>
              <w:widowControl/>
              <w:jc w:val="center"/>
              <w:rPr>
                <w:rFonts w:eastAsia="仿宋_GB2312"/>
                <w:color w:val="000000"/>
                <w:kern w:val="0"/>
                <w:sz w:val="18"/>
                <w:szCs w:val="18"/>
              </w:rPr>
            </w:pPr>
            <w:r>
              <w:rPr>
                <w:rFonts w:eastAsia="仿宋_GB2312"/>
                <w:color w:val="000000"/>
                <w:kern w:val="0"/>
                <w:sz w:val="18"/>
                <w:szCs w:val="18"/>
              </w:rPr>
              <w:t>（3分）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实际到位资金与预算资金的比率，用以反映和考核资金落实情况对项目实施的总体保障程度。</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资金到位率=（实际到位资金/预算资金）×100%。</w:t>
            </w:r>
          </w:p>
          <w:p>
            <w:pPr>
              <w:widowControl/>
              <w:jc w:val="left"/>
              <w:rPr>
                <w:rFonts w:eastAsia="仿宋_GB2312"/>
                <w:color w:val="000000"/>
                <w:kern w:val="0"/>
                <w:sz w:val="18"/>
                <w:szCs w:val="18"/>
              </w:rPr>
            </w:pPr>
            <w:r>
              <w:rPr>
                <w:rFonts w:hint="eastAsia" w:eastAsia="仿宋_GB2312"/>
                <w:color w:val="000000"/>
                <w:kern w:val="0"/>
                <w:sz w:val="18"/>
                <w:szCs w:val="18"/>
              </w:rPr>
              <w:t>实际到位资金：一定时期（本年度或项目期）内落实到具体项目的资金。</w:t>
            </w:r>
          </w:p>
          <w:p>
            <w:pPr>
              <w:jc w:val="left"/>
              <w:rPr>
                <w:rFonts w:eastAsia="仿宋_GB2312"/>
                <w:color w:val="000000"/>
                <w:kern w:val="0"/>
                <w:sz w:val="18"/>
                <w:szCs w:val="18"/>
              </w:rPr>
            </w:pPr>
            <w:r>
              <w:rPr>
                <w:rFonts w:hint="eastAsia" w:eastAsia="仿宋_GB2312"/>
                <w:color w:val="000000"/>
                <w:kern w:val="0"/>
                <w:sz w:val="18"/>
                <w:szCs w:val="18"/>
              </w:rPr>
              <w:t>预算资金：一定时期（本年度或项目期）内预算安排到具体项目的资金。</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得分=本指标分值*资金到位率</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3</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预算执行率</w:t>
            </w:r>
          </w:p>
          <w:p>
            <w:pPr>
              <w:widowControl/>
              <w:jc w:val="center"/>
              <w:rPr>
                <w:rFonts w:eastAsia="仿宋_GB2312"/>
                <w:color w:val="000000"/>
                <w:kern w:val="0"/>
                <w:sz w:val="18"/>
                <w:szCs w:val="18"/>
              </w:rPr>
            </w:pPr>
            <w:r>
              <w:rPr>
                <w:rFonts w:eastAsia="仿宋_GB2312"/>
                <w:color w:val="000000"/>
                <w:kern w:val="0"/>
                <w:sz w:val="18"/>
                <w:szCs w:val="18"/>
              </w:rPr>
              <w:t>（3分）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项目预算资金是否按照计划执行，用以反映或考核项目预算执行情况。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预算执行率=（实际支出资金/实际到位资金）×100%。</w:t>
            </w:r>
          </w:p>
          <w:p>
            <w:pPr>
              <w:jc w:val="left"/>
              <w:rPr>
                <w:rFonts w:eastAsia="仿宋_GB2312"/>
                <w:color w:val="000000"/>
                <w:kern w:val="0"/>
                <w:sz w:val="18"/>
                <w:szCs w:val="18"/>
              </w:rPr>
            </w:pPr>
            <w:r>
              <w:rPr>
                <w:rFonts w:hint="eastAsia" w:eastAsia="仿宋_GB2312"/>
                <w:color w:val="000000"/>
                <w:kern w:val="0"/>
                <w:sz w:val="18"/>
                <w:szCs w:val="18"/>
              </w:rPr>
              <w:t>实际支出资金：一定时期（本年度或项目期）内项目实际拨付的资金。</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得分=本指标分值*预算执行率</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3</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资金使用合规性</w:t>
            </w:r>
          </w:p>
          <w:p>
            <w:pPr>
              <w:widowControl/>
              <w:jc w:val="center"/>
              <w:rPr>
                <w:rFonts w:eastAsia="仿宋_GB2312"/>
                <w:color w:val="000000"/>
                <w:kern w:val="0"/>
                <w:sz w:val="18"/>
                <w:szCs w:val="18"/>
              </w:rPr>
            </w:pPr>
            <w:r>
              <w:rPr>
                <w:rFonts w:eastAsia="仿宋_GB2312"/>
                <w:color w:val="000000"/>
                <w:kern w:val="0"/>
                <w:sz w:val="18"/>
                <w:szCs w:val="18"/>
              </w:rPr>
              <w:t>（4分）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项目资金使用是否符合相关的财务管理制度规定，用以反映和考核项目资金的规范运行情况。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是否符合国家财经法规和财务管理制度以及有关专项资金管理办法的规定；</w:t>
            </w:r>
          </w:p>
          <w:p>
            <w:pPr>
              <w:jc w:val="left"/>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资金的拨付是否有完整的审批程序和手续；</w:t>
            </w:r>
          </w:p>
          <w:p>
            <w:pPr>
              <w:jc w:val="left"/>
              <w:rPr>
                <w:rFonts w:eastAsia="仿宋_GB2312"/>
                <w:sz w:val="18"/>
                <w:szCs w:val="18"/>
              </w:rPr>
            </w:pPr>
            <w:r>
              <w:rPr>
                <w:rFonts w:hint="eastAsia" w:eastAsia="仿宋_GB2312" w:cs="宋体"/>
                <w:sz w:val="18"/>
                <w:szCs w:val="18"/>
              </w:rPr>
              <w:t>③</w:t>
            </w:r>
            <w:r>
              <w:rPr>
                <w:rFonts w:hint="eastAsia" w:eastAsia="仿宋_GB2312"/>
                <w:sz w:val="18"/>
                <w:szCs w:val="18"/>
              </w:rPr>
              <w:t>是否符合项目预算批复或合同规定的用途；</w:t>
            </w:r>
          </w:p>
          <w:p>
            <w:pPr>
              <w:jc w:val="left"/>
              <w:rPr>
                <w:rFonts w:eastAsia="仿宋_GB2312"/>
                <w:sz w:val="18"/>
                <w:szCs w:val="18"/>
              </w:rPr>
            </w:pPr>
            <w:r>
              <w:rPr>
                <w:rFonts w:hint="eastAsia" w:eastAsia="仿宋_GB2312" w:cs="宋体"/>
                <w:sz w:val="18"/>
                <w:szCs w:val="18"/>
              </w:rPr>
              <w:t>④</w:t>
            </w:r>
            <w:r>
              <w:rPr>
                <w:rFonts w:hint="eastAsia" w:eastAsia="仿宋_GB2312"/>
                <w:sz w:val="18"/>
                <w:szCs w:val="18"/>
              </w:rPr>
              <w:t>是否存在截留、挤占、挪用、虚列支出等情况。</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该指标根据指标说明项，缺少任一项扣减本指标分值的25%，哪项不完整或不规范在25%以内适度扣分。扣完为止。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4</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组织实施（6分）</w:t>
            </w: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管理制度健全性</w:t>
            </w:r>
          </w:p>
          <w:p>
            <w:pPr>
              <w:widowControl/>
              <w:jc w:val="center"/>
              <w:rPr>
                <w:rFonts w:eastAsia="仿宋_GB2312"/>
                <w:color w:val="000000"/>
                <w:kern w:val="0"/>
                <w:sz w:val="18"/>
                <w:szCs w:val="18"/>
              </w:rPr>
            </w:pPr>
            <w:r>
              <w:rPr>
                <w:rFonts w:eastAsia="仿宋_GB2312"/>
                <w:color w:val="000000"/>
                <w:kern w:val="0"/>
                <w:sz w:val="18"/>
                <w:szCs w:val="18"/>
              </w:rPr>
              <w:t>（2分）</w:t>
            </w:r>
          </w:p>
        </w:tc>
        <w:tc>
          <w:tcPr>
            <w:tcW w:w="501" w:type="pct"/>
            <w:shd w:val="clear" w:color="000000" w:fill="FFFFFF"/>
            <w:vAlign w:val="center"/>
          </w:tcPr>
          <w:p>
            <w:pPr>
              <w:rPr>
                <w:rFonts w:eastAsia="仿宋_GB2312"/>
                <w:color w:val="000000"/>
                <w:kern w:val="0"/>
                <w:sz w:val="18"/>
                <w:szCs w:val="18"/>
              </w:rPr>
            </w:pP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项目实施单位的财务和业务管理制度是否健全，用以反映和考核财务和业务管理制度对项目顺利实施的保障情况。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是否已制定或具有相应的财务和业务管理制度；</w:t>
            </w:r>
          </w:p>
          <w:p>
            <w:pPr>
              <w:jc w:val="left"/>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财务和业务管理制度是否合法、合规、完整。</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该指标根据指标说明项，缺少任一项扣减本指标分值的50%，哪项不完整或不规范在50%以内适度扣分。扣完为止。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94"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制度执行有效性</w:t>
            </w:r>
          </w:p>
          <w:p>
            <w:pPr>
              <w:widowControl/>
              <w:jc w:val="center"/>
              <w:rPr>
                <w:rFonts w:eastAsia="仿宋_GB2312"/>
                <w:color w:val="000000"/>
                <w:kern w:val="0"/>
                <w:sz w:val="18"/>
                <w:szCs w:val="18"/>
              </w:rPr>
            </w:pPr>
            <w:r>
              <w:rPr>
                <w:rFonts w:eastAsia="仿宋_GB2312"/>
                <w:color w:val="000000"/>
                <w:kern w:val="0"/>
                <w:sz w:val="18"/>
                <w:szCs w:val="18"/>
              </w:rPr>
              <w:t>（2分）</w:t>
            </w:r>
          </w:p>
        </w:tc>
        <w:tc>
          <w:tcPr>
            <w:tcW w:w="501" w:type="pct"/>
            <w:shd w:val="clear" w:color="000000" w:fill="FFFFFF"/>
            <w:vAlign w:val="center"/>
          </w:tcPr>
          <w:p>
            <w:pPr>
              <w:rPr>
                <w:rFonts w:eastAsia="仿宋_GB2312"/>
                <w:color w:val="000000"/>
                <w:kern w:val="0"/>
                <w:sz w:val="18"/>
                <w:szCs w:val="18"/>
              </w:rPr>
            </w:pP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项目实施是否符合相关管理规定，用以反映和考核相关管理制度的有效执行情况。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是否遵守相关法律法规和相关管理规定；</w:t>
            </w:r>
          </w:p>
          <w:p>
            <w:pPr>
              <w:widowControl/>
              <w:jc w:val="left"/>
              <w:rPr>
                <w:rFonts w:eastAsia="仿宋_GB2312"/>
                <w:color w:val="000000"/>
                <w:kern w:val="0"/>
                <w:sz w:val="18"/>
                <w:szCs w:val="18"/>
              </w:rPr>
            </w:pPr>
            <w:r>
              <w:rPr>
                <w:rFonts w:hint="eastAsia" w:eastAsia="仿宋_GB2312" w:cs="宋体"/>
                <w:color w:val="000000"/>
                <w:kern w:val="0"/>
                <w:sz w:val="18"/>
                <w:szCs w:val="18"/>
              </w:rPr>
              <w:t>②</w:t>
            </w:r>
            <w:r>
              <w:rPr>
                <w:rFonts w:hint="eastAsia" w:eastAsia="仿宋_GB2312"/>
                <w:color w:val="000000"/>
                <w:kern w:val="0"/>
                <w:sz w:val="18"/>
                <w:szCs w:val="18"/>
              </w:rPr>
              <w:t>项目合同书、验收报告、技术鉴定等资料是否齐全并及时归档；</w:t>
            </w:r>
          </w:p>
          <w:p>
            <w:pPr>
              <w:jc w:val="left"/>
              <w:rPr>
                <w:rFonts w:eastAsia="仿宋_GB2312"/>
                <w:color w:val="000000"/>
                <w:kern w:val="0"/>
                <w:sz w:val="18"/>
                <w:szCs w:val="18"/>
              </w:rPr>
            </w:pPr>
            <w:r>
              <w:rPr>
                <w:rFonts w:hint="eastAsia" w:eastAsia="仿宋_GB2312" w:cs="宋体"/>
                <w:color w:val="000000"/>
                <w:kern w:val="0"/>
                <w:sz w:val="18"/>
                <w:szCs w:val="18"/>
              </w:rPr>
              <w:t>③</w:t>
            </w:r>
            <w:r>
              <w:rPr>
                <w:rFonts w:hint="eastAsia" w:eastAsia="仿宋_GB2312"/>
                <w:color w:val="000000"/>
                <w:kern w:val="0"/>
                <w:sz w:val="18"/>
                <w:szCs w:val="18"/>
              </w:rPr>
              <w:t>项目实施的人员条件、场地设备、信息支撑等是否落实到位。</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该指标根据指标说明项，缺少任一项扣减本指标分值的33%，哪项不完整或不规范在33%以内适度扣分。扣完为止。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项目质量可控性</w:t>
            </w:r>
          </w:p>
          <w:p>
            <w:pPr>
              <w:widowControl/>
              <w:jc w:val="center"/>
              <w:rPr>
                <w:rFonts w:eastAsia="仿宋_GB2312"/>
                <w:color w:val="000000"/>
                <w:kern w:val="0"/>
                <w:sz w:val="18"/>
                <w:szCs w:val="18"/>
              </w:rPr>
            </w:pPr>
            <w:r>
              <w:rPr>
                <w:rFonts w:eastAsia="仿宋_GB2312"/>
                <w:color w:val="000000"/>
                <w:kern w:val="0"/>
                <w:sz w:val="18"/>
                <w:szCs w:val="18"/>
              </w:rPr>
              <w:t>（2分）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项目实施单位是否为达到项目质量要求而采取了必需的措施，用以反映和考核项目实施单位对项目质量的控制情况。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r>
              <w:rPr>
                <w:rFonts w:hint="eastAsia" w:eastAsia="仿宋_GB2312" w:cs="宋体"/>
                <w:color w:val="000000"/>
                <w:kern w:val="0"/>
                <w:sz w:val="18"/>
                <w:szCs w:val="18"/>
              </w:rPr>
              <w:t>①</w:t>
            </w:r>
            <w:r>
              <w:rPr>
                <w:rFonts w:hint="eastAsia" w:eastAsia="仿宋_GB2312"/>
                <w:color w:val="000000"/>
                <w:kern w:val="0"/>
                <w:sz w:val="18"/>
                <w:szCs w:val="18"/>
              </w:rPr>
              <w:t>是否已制定或具有相应的项目质量要求或标准；</w:t>
            </w:r>
            <w:r>
              <w:rPr>
                <w:rFonts w:hint="eastAsia" w:eastAsia="仿宋_GB2312"/>
                <w:color w:val="000000"/>
                <w:kern w:val="0"/>
                <w:sz w:val="18"/>
                <w:szCs w:val="18"/>
              </w:rPr>
              <w:br w:type="textWrapping"/>
            </w:r>
            <w:r>
              <w:rPr>
                <w:rFonts w:hint="eastAsia" w:eastAsia="仿宋_GB2312" w:cs="宋体"/>
                <w:color w:val="000000"/>
                <w:kern w:val="0"/>
                <w:sz w:val="18"/>
                <w:szCs w:val="18"/>
              </w:rPr>
              <w:t>②</w:t>
            </w:r>
            <w:r>
              <w:rPr>
                <w:rFonts w:hint="eastAsia" w:eastAsia="仿宋_GB2312"/>
                <w:color w:val="000000"/>
                <w:kern w:val="0"/>
                <w:sz w:val="18"/>
                <w:szCs w:val="18"/>
              </w:rPr>
              <w:t>是否采取了相应的项目质量检查、验收等必需的控制措施或手段。</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该指标根据指标说明项，缺少任一项扣减本指标分值的50%，哪项不完整或不规范在50%以内适度扣分。扣完为止。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运行监控（4分）</w:t>
            </w: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运行监控有效性</w:t>
            </w:r>
          </w:p>
          <w:p>
            <w:pPr>
              <w:widowControl/>
              <w:jc w:val="center"/>
              <w:rPr>
                <w:rFonts w:eastAsia="仿宋_GB2312"/>
                <w:color w:val="000000"/>
                <w:kern w:val="0"/>
                <w:sz w:val="18"/>
                <w:szCs w:val="18"/>
              </w:rPr>
            </w:pPr>
            <w:r>
              <w:rPr>
                <w:rFonts w:eastAsia="仿宋_GB2312"/>
                <w:color w:val="000000"/>
                <w:kern w:val="0"/>
                <w:sz w:val="18"/>
                <w:szCs w:val="18"/>
              </w:rPr>
              <w:t>（4分）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项目实施单位是否为保障项目规范运行实施自行绩效运行监控，用以反映和考核项目实施单位对项目运行的控制情况。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sz w:val="18"/>
                <w:szCs w:val="18"/>
              </w:rPr>
            </w:pPr>
            <w:r>
              <w:rPr>
                <w:rFonts w:hint="eastAsia" w:eastAsia="仿宋_GB2312" w:cs="宋体"/>
                <w:sz w:val="18"/>
                <w:szCs w:val="18"/>
              </w:rPr>
              <w:t>①</w:t>
            </w:r>
            <w:r>
              <w:rPr>
                <w:rFonts w:hint="eastAsia" w:eastAsia="仿宋_GB2312"/>
                <w:sz w:val="18"/>
                <w:szCs w:val="18"/>
              </w:rPr>
              <w:t>是否按要求开展自行绩效运行监控工作；</w:t>
            </w:r>
            <w:r>
              <w:rPr>
                <w:rFonts w:hint="eastAsia" w:eastAsia="仿宋_GB2312"/>
                <w:sz w:val="18"/>
                <w:szCs w:val="18"/>
              </w:rPr>
              <w:br w:type="textWrapping"/>
            </w:r>
            <w:r>
              <w:rPr>
                <w:rFonts w:hint="eastAsia" w:eastAsia="仿宋_GB2312" w:cs="宋体"/>
                <w:sz w:val="18"/>
                <w:szCs w:val="18"/>
              </w:rPr>
              <w:t>②</w:t>
            </w:r>
            <w:r>
              <w:rPr>
                <w:rFonts w:hint="eastAsia" w:eastAsia="仿宋_GB2312"/>
                <w:sz w:val="18"/>
                <w:szCs w:val="18"/>
              </w:rPr>
              <w:t>是否按时报送绩效运行监控季报或监控报告；</w:t>
            </w:r>
            <w:r>
              <w:rPr>
                <w:rFonts w:hint="eastAsia" w:eastAsia="仿宋_GB2312"/>
                <w:sz w:val="18"/>
                <w:szCs w:val="18"/>
              </w:rPr>
              <w:br w:type="textWrapping"/>
            </w:r>
            <w:r>
              <w:rPr>
                <w:rFonts w:hint="eastAsia" w:eastAsia="仿宋_GB2312" w:cs="宋体"/>
                <w:sz w:val="18"/>
                <w:szCs w:val="18"/>
              </w:rPr>
              <w:t>③</w:t>
            </w:r>
            <w:r>
              <w:rPr>
                <w:rFonts w:hint="eastAsia" w:eastAsia="仿宋_GB2312"/>
                <w:sz w:val="18"/>
                <w:szCs w:val="18"/>
              </w:rPr>
              <w:t>是否对绩效运行监控中发现的问题进行整改落实；</w:t>
            </w:r>
            <w:r>
              <w:rPr>
                <w:rFonts w:hint="eastAsia" w:eastAsia="仿宋_GB2312"/>
                <w:sz w:val="18"/>
                <w:szCs w:val="18"/>
              </w:rPr>
              <w:br w:type="textWrapping"/>
            </w:r>
            <w:r>
              <w:rPr>
                <w:rFonts w:hint="eastAsia" w:eastAsia="仿宋_GB2312" w:cs="宋体"/>
                <w:sz w:val="18"/>
                <w:szCs w:val="18"/>
              </w:rPr>
              <w:t>④</w:t>
            </w:r>
            <w:r>
              <w:rPr>
                <w:rFonts w:hint="eastAsia" w:eastAsia="仿宋_GB2312"/>
                <w:sz w:val="18"/>
                <w:szCs w:val="18"/>
              </w:rPr>
              <w:t>是否存在绩效目标偏离情况。</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该指标根据指标说明项，缺少任一项扣减本指标分值的25%，哪项不完整或不规范在25%以内适度扣分。扣完为止。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4</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产出（45分）</w:t>
            </w: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产出数量（20分）</w:t>
            </w:r>
          </w:p>
        </w:tc>
        <w:tc>
          <w:tcPr>
            <w:tcW w:w="398"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实际完成率</w:t>
            </w:r>
          </w:p>
          <w:p>
            <w:pPr>
              <w:widowControl/>
              <w:jc w:val="center"/>
              <w:rPr>
                <w:rFonts w:eastAsia="仿宋_GB2312"/>
                <w:color w:val="000000"/>
                <w:kern w:val="0"/>
                <w:sz w:val="18"/>
                <w:szCs w:val="18"/>
              </w:rPr>
            </w:pPr>
            <w:r>
              <w:rPr>
                <w:rFonts w:eastAsia="仿宋_GB2312"/>
                <w:color w:val="000000"/>
                <w:kern w:val="0"/>
                <w:sz w:val="18"/>
                <w:szCs w:val="18"/>
              </w:rPr>
              <w:t>（20分）</w:t>
            </w:r>
          </w:p>
        </w:tc>
        <w:tc>
          <w:tcPr>
            <w:tcW w:w="501"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铜川市2018-2019年秋冬季大气颗粒物分布特征与来源解析报告编制完成度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用以反映和考核项目颗粒物精细化来源解析报告编制工作完成情况。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报告是否编制完成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报告编制实际完成度达到100%得满分，否则不得分。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铜川市2019年高分辨率大气污染源排放清单编制完成度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用以反映和考核项目高分辨率大气污染源排放清单编制工作完成情况。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清单是否编制完成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报告编制实际完成度达到100%得满分，否则不得分。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地方研究人员培训次数</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用以反映和考核专家组对地方大气污染防治队伍培养工作完成情况。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培训次数是否符合需求</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实际培训次数≥2次，得满分，否则不得分。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重污染天气发生气象背景分析报告编制完成度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用以反映和考核重污染天气发生气象背景分析报告编制完成进度。</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报告是否编制完成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排放清单编制完成度达到100%得满分，否则不得分。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铜川市重污染天气应急预案编制完成度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用以反映和考核重污染天气应急预案修订工作完成进度。</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应急预案是否编制完成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应急预案编制完成度达到100%得满分，否则不得分。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重点涉气企业实际调研数</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用以反映和考核研究组对调研方案中重点涉气企业实地调研工作开展情况。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企业实际调研数是否符合项目需求</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实际现场调研涉气企业数达到25家，得满分，否则，不得分。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环境空气质量预警预报完成率</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用以反映和考核预报预警工作完成情况。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完成率=全年实际预警预报数量/全年总天数。</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铜川市典型重污染过程分析与评估报告编制完成度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用以反映和考核重污染过程分析报告编制工作完成情况。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报告是否编制完成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报告编制实际完成度达到100%得满分，否则不得分。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针对重点排污企业的“一企一策”减排方案完成度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用以反映和考核项目“一市一策”综合解决方案课题完成情况。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方案是否编制完成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方案编制实际完成度达到100%得满分，否则不得分。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“一市一策”初步综合解决方案及秋冬季污染防治方案完成度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用以反映和考核项目“一市一策”综合解决方案课题完成情况。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方案是否编制完成</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报告编制完成度达到100%得满分，否则不得分。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产出质量（20分）</w:t>
            </w:r>
          </w:p>
        </w:tc>
        <w:tc>
          <w:tcPr>
            <w:tcW w:w="398"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质量达标率</w:t>
            </w:r>
          </w:p>
          <w:p>
            <w:pPr>
              <w:widowControl/>
              <w:jc w:val="center"/>
              <w:rPr>
                <w:rFonts w:eastAsia="仿宋_GB2312"/>
                <w:color w:val="000000"/>
                <w:kern w:val="0"/>
                <w:sz w:val="18"/>
                <w:szCs w:val="18"/>
              </w:rPr>
            </w:pPr>
            <w:r>
              <w:rPr>
                <w:rFonts w:eastAsia="仿宋_GB2312"/>
                <w:color w:val="000000"/>
                <w:kern w:val="0"/>
                <w:sz w:val="18"/>
                <w:szCs w:val="18"/>
              </w:rPr>
              <w:t>（20分）</w:t>
            </w: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2019年污染源排放清单动态更新工作完成度</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用以反映和考核污染源排放清单逐年滚动更新工作进展情况。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研究项目组是否对污染源排放清单是否进行了动态更新</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实际完成度达到100%满分，否则不得分。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编制高分辨率大气污染源排放清单涉及污染源及污染物类型</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用以反映和考核项目任务书中编制高分辨率大气污染源排放清单课题输出成果内容完整情况。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评价要点：</w:t>
            </w:r>
          </w:p>
          <w:p>
            <w:pPr>
              <w:widowControl/>
              <w:jc w:val="left"/>
              <w:rPr>
                <w:rFonts w:eastAsia="仿宋_GB2312"/>
                <w:sz w:val="18"/>
                <w:szCs w:val="18"/>
              </w:rPr>
            </w:pPr>
            <w:r>
              <w:rPr>
                <w:rFonts w:hint="eastAsia" w:eastAsia="仿宋_GB2312" w:cs="宋体"/>
                <w:sz w:val="18"/>
                <w:szCs w:val="18"/>
              </w:rPr>
              <w:t>①</w:t>
            </w:r>
            <w:r>
              <w:rPr>
                <w:rFonts w:hint="eastAsia" w:eastAsia="仿宋_GB2312"/>
                <w:sz w:val="18"/>
                <w:szCs w:val="18"/>
              </w:rPr>
              <w:t>涉及污染源类型≥9大类（固定燃烧源、工艺过程源、道路移动源、非道路移动源、溶剂使用源、存储和运输源、扬尘源、农牧源、生物质燃烧源）；（1分）</w:t>
            </w:r>
            <w:r>
              <w:rPr>
                <w:rFonts w:hint="eastAsia" w:eastAsia="仿宋_GB2312"/>
                <w:sz w:val="18"/>
                <w:szCs w:val="18"/>
              </w:rPr>
              <w:br w:type="textWrapping"/>
            </w:r>
            <w:r>
              <w:rPr>
                <w:rFonts w:hint="eastAsia" w:eastAsia="仿宋_GB2312" w:cs="宋体"/>
                <w:sz w:val="18"/>
                <w:szCs w:val="18"/>
              </w:rPr>
              <w:t>②</w:t>
            </w:r>
            <w:r>
              <w:rPr>
                <w:rFonts w:hint="eastAsia" w:eastAsia="仿宋_GB2312"/>
                <w:sz w:val="18"/>
                <w:szCs w:val="18"/>
              </w:rPr>
              <w:t>涉及污染物种类≥9种（S02\N02\PMIO\PM2.5\CO\BC\OC\NH3\ VOCs）。（1分）</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该指标根据指标说明项，缺少任一项扣减本指标分值的50%，哪项不完整或不规范在50%以内适度扣分。扣完为止。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排放清单2019年污染源活动水平数据调研率</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用以反映和考核项目组对于涉气企业排放情况掌握程度。</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调研率=实际调研企业数量/全市统计涉气企业数量</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调研率达到100%满分，否则不得分。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技术培训各区县覆盖率</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用以反映和考核各区县相关研究人员培训覆盖情况。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覆盖率=实际开展培训区县数/全市各区县数</w:t>
            </w:r>
          </w:p>
        </w:tc>
        <w:tc>
          <w:tcPr>
            <w:tcW w:w="945" w:type="pct"/>
            <w:shd w:val="clear" w:color="auto" w:fill="auto"/>
            <w:vAlign w:val="center"/>
          </w:tcPr>
          <w:p>
            <w:pPr>
              <w:widowControl/>
              <w:rPr>
                <w:rFonts w:eastAsia="仿宋_GB2312"/>
                <w:kern w:val="0"/>
                <w:sz w:val="18"/>
                <w:szCs w:val="18"/>
              </w:rPr>
            </w:pPr>
            <w:r>
              <w:rPr>
                <w:rFonts w:hint="eastAsia" w:eastAsia="仿宋_GB2312"/>
                <w:kern w:val="0"/>
                <w:sz w:val="18"/>
                <w:szCs w:val="18"/>
              </w:rPr>
              <w:t>覆盖率达到100%满分，否则不得分。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建立重污染时期多部门联合会商机制</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用以反映和考核预警预报会商机制建立情况。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是否已经建立多部门联合会商机制</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已建立了重污染时期多部门联合会商机制得2分，未建立不得分。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驻点跟踪研究阶段工作考核结果等级</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用以反映和考核驻点跟踪研究项目组阶段性工作成效</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根据相关部门出具的阶段性考核结果的函中评级结果酌情打分。</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得分=指标分值*考核得分/考核总分*100%</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1</w:t>
            </w:r>
            <w:r>
              <w:rPr>
                <w:rFonts w:hint="eastAsia" w:eastAsia="仿宋_GB2312"/>
                <w:color w:val="000000"/>
                <w:kern w:val="0"/>
                <w:sz w:val="18"/>
                <w:szCs w:val="18"/>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空气质量等级预报准确率</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用以反映和考核项目组提供预警预报服务的可靠性。</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24小时预报准确率=空气质量等级预报准确天数/全年预报天数</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准确率≥70%；（2分）</w:t>
            </w:r>
            <w:r>
              <w:rPr>
                <w:rFonts w:hint="eastAsia" w:eastAsia="仿宋_GB2312"/>
                <w:color w:val="000000"/>
                <w:kern w:val="0"/>
                <w:sz w:val="18"/>
                <w:szCs w:val="18"/>
              </w:rPr>
              <w:br w:type="textWrapping"/>
            </w:r>
            <w:r>
              <w:rPr>
                <w:rFonts w:hint="eastAsia" w:eastAsia="仿宋_GB2312" w:cs="宋体"/>
                <w:color w:val="000000"/>
                <w:kern w:val="0"/>
                <w:sz w:val="18"/>
                <w:szCs w:val="18"/>
              </w:rPr>
              <w:t>②</w:t>
            </w:r>
            <w:r>
              <w:rPr>
                <w:rFonts w:hint="eastAsia" w:eastAsia="仿宋_GB2312"/>
                <w:color w:val="000000"/>
                <w:kern w:val="0"/>
                <w:sz w:val="18"/>
                <w:szCs w:val="18"/>
              </w:rPr>
              <w:t>准确率&lt;70%。（0分）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提出臭氧污染管控建议</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用以反映和考核针对臭氧污染防治提出管控建议情况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是否针对不同行业对形成臭氧污染的主要前体物VOCs和Nox给出管控建议。</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已针对不同行业对形成臭氧污染的主要前体物VOCs和Nox给出管控建议，得满分，否则不得分。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重点行业企业核查措施实施情况</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用以反映和考核项目主管部门对于项目产出成果的应用情况。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评价要点：</w:t>
            </w:r>
          </w:p>
          <w:p>
            <w:pPr>
              <w:widowControl/>
              <w:jc w:val="left"/>
              <w:rPr>
                <w:rFonts w:eastAsia="仿宋_GB2312"/>
                <w:kern w:val="0"/>
                <w:sz w:val="18"/>
                <w:szCs w:val="18"/>
              </w:rPr>
            </w:pPr>
            <w:r>
              <w:rPr>
                <w:rFonts w:hint="eastAsia" w:eastAsia="仿宋_GB2312" w:cs="宋体"/>
                <w:kern w:val="0"/>
                <w:sz w:val="18"/>
                <w:szCs w:val="18"/>
              </w:rPr>
              <w:t>①</w:t>
            </w:r>
            <w:r>
              <w:rPr>
                <w:rFonts w:hint="eastAsia" w:eastAsia="仿宋_GB2312"/>
                <w:kern w:val="0"/>
                <w:sz w:val="18"/>
                <w:szCs w:val="18"/>
              </w:rPr>
              <w:t>项目主管部门是否根据研究组编制的《铜川市2019年重污染天气主要行业应急减排措施建议》内容指导相关企业制定符合实际的“一企一策”操作方案；（2分）</w:t>
            </w:r>
            <w:r>
              <w:rPr>
                <w:rFonts w:hint="eastAsia" w:eastAsia="仿宋_GB2312"/>
                <w:kern w:val="0"/>
                <w:sz w:val="18"/>
                <w:szCs w:val="18"/>
              </w:rPr>
              <w:br w:type="textWrapping"/>
            </w:r>
            <w:r>
              <w:rPr>
                <w:rFonts w:hint="eastAsia" w:eastAsia="仿宋_GB2312" w:cs="宋体"/>
                <w:kern w:val="0"/>
                <w:sz w:val="18"/>
                <w:szCs w:val="18"/>
              </w:rPr>
              <w:t>②</w:t>
            </w:r>
            <w:r>
              <w:rPr>
                <w:rFonts w:hint="eastAsia" w:eastAsia="仿宋_GB2312"/>
                <w:kern w:val="0"/>
                <w:sz w:val="18"/>
                <w:szCs w:val="18"/>
              </w:rPr>
              <w:t>项目主管部门是否对相关企业“一企一策”方案实施情况进行督导检查。（2分）</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该指标根据指标说明项，缺少任一项扣减本指标分值的50%，哪项不完整或不规范在50%以内适度扣分。扣完为止。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shd w:val="clear" w:color="auto" w:fill="auto"/>
            <w:vAlign w:val="center"/>
          </w:tcPr>
          <w:p>
            <w:pPr>
              <w:widowControl/>
              <w:rPr>
                <w:rFonts w:eastAsia="仿宋_GB2312"/>
                <w:kern w:val="0"/>
                <w:sz w:val="18"/>
                <w:szCs w:val="18"/>
              </w:rPr>
            </w:pPr>
            <w:r>
              <w:rPr>
                <w:rFonts w:hint="eastAsia" w:eastAsia="仿宋_GB2312"/>
                <w:kern w:val="0"/>
                <w:sz w:val="18"/>
                <w:szCs w:val="18"/>
              </w:rPr>
              <w:t>实现重点行业企业差异化管控</w:t>
            </w:r>
          </w:p>
        </w:tc>
        <w:tc>
          <w:tcPr>
            <w:tcW w:w="819" w:type="pct"/>
            <w:shd w:val="clear" w:color="auto" w:fill="auto"/>
            <w:vAlign w:val="center"/>
          </w:tcPr>
          <w:p>
            <w:pPr>
              <w:widowControl/>
              <w:rPr>
                <w:rFonts w:eastAsia="仿宋_GB2312"/>
                <w:kern w:val="0"/>
                <w:sz w:val="18"/>
                <w:szCs w:val="18"/>
              </w:rPr>
            </w:pPr>
            <w:r>
              <w:rPr>
                <w:rFonts w:hint="eastAsia" w:eastAsia="仿宋_GB2312"/>
                <w:kern w:val="0"/>
                <w:sz w:val="18"/>
                <w:szCs w:val="18"/>
              </w:rPr>
              <w:t>用以反映和考核对重点行业企业实行绩效分级差别化绿色管控情况</w:t>
            </w:r>
          </w:p>
        </w:tc>
        <w:tc>
          <w:tcPr>
            <w:tcW w:w="1315" w:type="pct"/>
            <w:shd w:val="clear" w:color="auto" w:fill="auto"/>
            <w:vAlign w:val="center"/>
          </w:tcPr>
          <w:p>
            <w:pPr>
              <w:widowControl/>
              <w:jc w:val="left"/>
              <w:rPr>
                <w:rFonts w:eastAsia="仿宋_GB2312"/>
                <w:kern w:val="0"/>
                <w:sz w:val="18"/>
                <w:szCs w:val="18"/>
              </w:rPr>
            </w:pPr>
            <w:r>
              <w:rPr>
                <w:rFonts w:hint="eastAsia" w:eastAsia="仿宋_GB2312"/>
                <w:kern w:val="0"/>
                <w:sz w:val="18"/>
                <w:szCs w:val="18"/>
              </w:rPr>
              <w:t>是否已经对重点行业企业实行绩效分级管控推进企业绩效提升</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已经对重点行业企业实行绩效分级管控推进企业绩效提升，得满分，否则不得分。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产出时效（5分）</w:t>
            </w:r>
          </w:p>
        </w:tc>
        <w:tc>
          <w:tcPr>
            <w:tcW w:w="398"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完成及时性</w:t>
            </w:r>
          </w:p>
          <w:p>
            <w:pPr>
              <w:widowControl/>
              <w:jc w:val="center"/>
              <w:rPr>
                <w:rFonts w:eastAsia="仿宋_GB2312"/>
                <w:color w:val="000000"/>
                <w:kern w:val="0"/>
                <w:sz w:val="18"/>
                <w:szCs w:val="18"/>
              </w:rPr>
            </w:pPr>
            <w:r>
              <w:rPr>
                <w:rFonts w:eastAsia="仿宋_GB2312"/>
                <w:color w:val="000000"/>
                <w:kern w:val="0"/>
                <w:sz w:val="18"/>
                <w:szCs w:val="18"/>
              </w:rPr>
              <w:t>（5分）</w:t>
            </w:r>
          </w:p>
        </w:tc>
        <w:tc>
          <w:tcPr>
            <w:tcW w:w="501" w:type="pct"/>
            <w:vMerge w:val="restar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　</w:t>
            </w:r>
          </w:p>
        </w:tc>
        <w:tc>
          <w:tcPr>
            <w:tcW w:w="819" w:type="pct"/>
            <w:vMerge w:val="restar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项目实际完成时间与计划完成时间的比较，用以反映和考核项目产出时效目标的实现程度。</w:t>
            </w:r>
          </w:p>
        </w:tc>
        <w:tc>
          <w:tcPr>
            <w:tcW w:w="1315" w:type="pct"/>
            <w:vMerge w:val="restar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实际完成时间：项目实施单位完成该项目实际所耗用的时间。计划完成时间：按照项目实施计划或相关规定完成该项目所需的时间。</w:t>
            </w:r>
          </w:p>
        </w:tc>
        <w:tc>
          <w:tcPr>
            <w:tcW w:w="945" w:type="pct"/>
            <w:vMerge w:val="restar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得分=本指标分值*完成及时率</w:t>
            </w:r>
          </w:p>
        </w:tc>
        <w:tc>
          <w:tcPr>
            <w:tcW w:w="232"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5</w:t>
            </w:r>
          </w:p>
        </w:tc>
        <w:tc>
          <w:tcPr>
            <w:tcW w:w="281"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vMerge w:val="continue"/>
            <w:vAlign w:val="center"/>
          </w:tcPr>
          <w:p>
            <w:pPr>
              <w:widowControl/>
              <w:rPr>
                <w:rFonts w:eastAsia="仿宋_GB2312"/>
                <w:color w:val="000000"/>
                <w:kern w:val="0"/>
                <w:sz w:val="18"/>
                <w:szCs w:val="18"/>
              </w:rPr>
            </w:pPr>
          </w:p>
        </w:tc>
        <w:tc>
          <w:tcPr>
            <w:tcW w:w="819" w:type="pct"/>
            <w:vMerge w:val="continue"/>
            <w:vAlign w:val="center"/>
          </w:tcPr>
          <w:p>
            <w:pPr>
              <w:widowControl/>
              <w:rPr>
                <w:rFonts w:eastAsia="仿宋_GB2312"/>
                <w:color w:val="000000"/>
                <w:kern w:val="0"/>
                <w:sz w:val="18"/>
                <w:szCs w:val="18"/>
              </w:rPr>
            </w:pPr>
          </w:p>
        </w:tc>
        <w:tc>
          <w:tcPr>
            <w:tcW w:w="1315" w:type="pct"/>
            <w:vMerge w:val="continue"/>
            <w:vAlign w:val="center"/>
          </w:tcPr>
          <w:p>
            <w:pPr>
              <w:widowControl/>
              <w:jc w:val="left"/>
              <w:rPr>
                <w:rFonts w:eastAsia="仿宋_GB2312"/>
                <w:color w:val="000000"/>
                <w:kern w:val="0"/>
                <w:sz w:val="18"/>
                <w:szCs w:val="18"/>
              </w:rPr>
            </w:pPr>
          </w:p>
        </w:tc>
        <w:tc>
          <w:tcPr>
            <w:tcW w:w="945" w:type="pct"/>
            <w:vMerge w:val="continue"/>
            <w:vAlign w:val="center"/>
          </w:tcPr>
          <w:p>
            <w:pPr>
              <w:widowControl/>
              <w:rPr>
                <w:rFonts w:eastAsia="仿宋_GB2312"/>
                <w:color w:val="000000"/>
                <w:kern w:val="0"/>
                <w:sz w:val="18"/>
                <w:szCs w:val="18"/>
              </w:rPr>
            </w:pPr>
          </w:p>
        </w:tc>
        <w:tc>
          <w:tcPr>
            <w:tcW w:w="232" w:type="pct"/>
            <w:vMerge w:val="continue"/>
            <w:vAlign w:val="center"/>
          </w:tcPr>
          <w:p>
            <w:pPr>
              <w:widowControl/>
              <w:jc w:val="left"/>
              <w:rPr>
                <w:rFonts w:eastAsia="仿宋_GB2312"/>
                <w:color w:val="000000"/>
                <w:kern w:val="0"/>
                <w:sz w:val="18"/>
                <w:szCs w:val="18"/>
              </w:rPr>
            </w:pPr>
          </w:p>
        </w:tc>
        <w:tc>
          <w:tcPr>
            <w:tcW w:w="281" w:type="pct"/>
            <w:vMerge w:val="continue"/>
            <w:vAlign w:val="center"/>
          </w:tcPr>
          <w:p>
            <w:pPr>
              <w:widowControl/>
              <w:jc w:val="left"/>
              <w:rPr>
                <w:rFonts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vAlign w:val="center"/>
          </w:tcPr>
          <w:p>
            <w:pPr>
              <w:widowControl/>
              <w:jc w:val="left"/>
              <w:rPr>
                <w:rFonts w:eastAsia="仿宋_GB2312"/>
                <w:color w:val="000000"/>
                <w:kern w:val="0"/>
                <w:sz w:val="18"/>
                <w:szCs w:val="18"/>
              </w:rPr>
            </w:pPr>
          </w:p>
        </w:tc>
        <w:tc>
          <w:tcPr>
            <w:tcW w:w="501" w:type="pct"/>
            <w:vMerge w:val="continue"/>
            <w:vAlign w:val="center"/>
          </w:tcPr>
          <w:p>
            <w:pPr>
              <w:widowControl/>
              <w:rPr>
                <w:rFonts w:eastAsia="仿宋_GB2312"/>
                <w:color w:val="000000"/>
                <w:kern w:val="0"/>
                <w:sz w:val="18"/>
                <w:szCs w:val="18"/>
              </w:rPr>
            </w:pPr>
          </w:p>
        </w:tc>
        <w:tc>
          <w:tcPr>
            <w:tcW w:w="819" w:type="pct"/>
            <w:vMerge w:val="continue"/>
            <w:vAlign w:val="center"/>
          </w:tcPr>
          <w:p>
            <w:pPr>
              <w:widowControl/>
              <w:rPr>
                <w:rFonts w:eastAsia="仿宋_GB2312"/>
                <w:color w:val="000000"/>
                <w:kern w:val="0"/>
                <w:sz w:val="18"/>
                <w:szCs w:val="18"/>
              </w:rPr>
            </w:pPr>
          </w:p>
        </w:tc>
        <w:tc>
          <w:tcPr>
            <w:tcW w:w="1315" w:type="pct"/>
            <w:vMerge w:val="continue"/>
            <w:vAlign w:val="center"/>
          </w:tcPr>
          <w:p>
            <w:pPr>
              <w:widowControl/>
              <w:jc w:val="left"/>
              <w:rPr>
                <w:rFonts w:eastAsia="仿宋_GB2312"/>
                <w:color w:val="000000"/>
                <w:kern w:val="0"/>
                <w:sz w:val="18"/>
                <w:szCs w:val="18"/>
              </w:rPr>
            </w:pPr>
          </w:p>
        </w:tc>
        <w:tc>
          <w:tcPr>
            <w:tcW w:w="945" w:type="pct"/>
            <w:vMerge w:val="continue"/>
            <w:vAlign w:val="center"/>
          </w:tcPr>
          <w:p>
            <w:pPr>
              <w:widowControl/>
              <w:rPr>
                <w:rFonts w:eastAsia="仿宋_GB2312"/>
                <w:color w:val="000000"/>
                <w:kern w:val="0"/>
                <w:sz w:val="18"/>
                <w:szCs w:val="18"/>
              </w:rPr>
            </w:pPr>
          </w:p>
        </w:tc>
        <w:tc>
          <w:tcPr>
            <w:tcW w:w="232" w:type="pct"/>
            <w:vMerge w:val="continue"/>
            <w:vAlign w:val="center"/>
          </w:tcPr>
          <w:p>
            <w:pPr>
              <w:widowControl/>
              <w:jc w:val="left"/>
              <w:rPr>
                <w:rFonts w:eastAsia="仿宋_GB2312"/>
                <w:color w:val="000000"/>
                <w:kern w:val="0"/>
                <w:sz w:val="18"/>
                <w:szCs w:val="18"/>
              </w:rPr>
            </w:pPr>
          </w:p>
        </w:tc>
        <w:tc>
          <w:tcPr>
            <w:tcW w:w="281" w:type="pct"/>
            <w:vMerge w:val="continue"/>
            <w:vAlign w:val="center"/>
          </w:tcPr>
          <w:p>
            <w:pPr>
              <w:widowControl/>
              <w:jc w:val="left"/>
              <w:rPr>
                <w:rFonts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trPr>
        <w:tc>
          <w:tcPr>
            <w:tcW w:w="245" w:type="pct"/>
            <w:vMerge w:val="restart"/>
            <w:tcBorders>
              <w:bottom w:val="single" w:color="auto" w:sz="4" w:space="0"/>
            </w:tcBorders>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效益　（20分）</w:t>
            </w:r>
          </w:p>
        </w:tc>
        <w:tc>
          <w:tcPr>
            <w:tcW w:w="264" w:type="pct"/>
            <w:vMerge w:val="restart"/>
            <w:tcBorders>
              <w:bottom w:val="single" w:color="auto" w:sz="4" w:space="0"/>
            </w:tcBorders>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项目效益（20分）　</w:t>
            </w:r>
          </w:p>
        </w:tc>
        <w:tc>
          <w:tcPr>
            <w:tcW w:w="398" w:type="pct"/>
            <w:vMerge w:val="restart"/>
            <w:tcBorders>
              <w:bottom w:val="single" w:color="auto" w:sz="4" w:space="0"/>
            </w:tcBorders>
            <w:shd w:val="clear" w:color="000000" w:fill="FFFFFF"/>
            <w:vAlign w:val="center"/>
          </w:tcPr>
          <w:p>
            <w:pPr>
              <w:jc w:val="center"/>
              <w:rPr>
                <w:rFonts w:eastAsia="仿宋_GB2312"/>
                <w:color w:val="000000"/>
                <w:kern w:val="0"/>
                <w:sz w:val="18"/>
                <w:szCs w:val="18"/>
              </w:rPr>
            </w:pPr>
            <w:r>
              <w:rPr>
                <w:rFonts w:eastAsia="仿宋_GB2312"/>
                <w:color w:val="000000"/>
                <w:kern w:val="0"/>
                <w:sz w:val="18"/>
                <w:szCs w:val="18"/>
              </w:rPr>
              <w:t>生态效益（</w:t>
            </w:r>
            <w:r>
              <w:rPr>
                <w:rFonts w:hint="eastAsia" w:eastAsia="仿宋_GB2312"/>
                <w:color w:val="000000"/>
                <w:kern w:val="0"/>
                <w:sz w:val="18"/>
                <w:szCs w:val="18"/>
              </w:rPr>
              <w:t>8</w:t>
            </w:r>
            <w:r>
              <w:rPr>
                <w:rFonts w:eastAsia="仿宋_GB2312"/>
                <w:color w:val="000000"/>
                <w:kern w:val="0"/>
                <w:sz w:val="18"/>
                <w:szCs w:val="18"/>
              </w:rPr>
              <w:t>分）</w:t>
            </w:r>
          </w:p>
        </w:tc>
        <w:tc>
          <w:tcPr>
            <w:tcW w:w="501" w:type="pct"/>
            <w:tcBorders>
              <w:bottom w:val="single" w:color="auto" w:sz="4" w:space="0"/>
            </w:tcBorders>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深化大气污染防治工作</w:t>
            </w:r>
          </w:p>
        </w:tc>
        <w:tc>
          <w:tcPr>
            <w:tcW w:w="819" w:type="pct"/>
            <w:tcBorders>
              <w:bottom w:val="single" w:color="auto" w:sz="4" w:space="0"/>
            </w:tcBorders>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反映项目在深化大气污染防治工作中的效益。</w:t>
            </w:r>
          </w:p>
        </w:tc>
        <w:tc>
          <w:tcPr>
            <w:tcW w:w="1315" w:type="pct"/>
            <w:tcBorders>
              <w:bottom w:val="single" w:color="auto" w:sz="4" w:space="0"/>
            </w:tcBorders>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在大气污染的成因、影响评估、预测预报、决策支撑、精准治理方面形成研究成果。</w:t>
            </w:r>
          </w:p>
          <w:p>
            <w:pPr>
              <w:widowControl/>
              <w:jc w:val="left"/>
              <w:rPr>
                <w:rFonts w:eastAsia="仿宋_GB2312"/>
                <w:sz w:val="18"/>
                <w:szCs w:val="18"/>
              </w:rPr>
            </w:pPr>
            <w:r>
              <w:rPr>
                <w:rFonts w:hint="eastAsia" w:eastAsia="仿宋_GB2312" w:cs="宋体"/>
                <w:sz w:val="18"/>
                <w:szCs w:val="18"/>
              </w:rPr>
              <w:t>②</w:t>
            </w:r>
            <w:r>
              <w:rPr>
                <w:rFonts w:hint="eastAsia" w:eastAsia="仿宋_GB2312"/>
                <w:sz w:val="18"/>
                <w:szCs w:val="18"/>
              </w:rPr>
              <w:t>分析存在问题</w:t>
            </w:r>
          </w:p>
          <w:p>
            <w:pPr>
              <w:widowControl/>
              <w:jc w:val="left"/>
              <w:rPr>
                <w:rFonts w:eastAsia="仿宋_GB2312"/>
                <w:sz w:val="18"/>
                <w:szCs w:val="18"/>
              </w:rPr>
            </w:pPr>
            <w:r>
              <w:rPr>
                <w:rFonts w:hint="eastAsia" w:eastAsia="仿宋_GB2312" w:cs="宋体"/>
                <w:sz w:val="18"/>
                <w:szCs w:val="18"/>
              </w:rPr>
              <w:t>③</w:t>
            </w:r>
            <w:r>
              <w:rPr>
                <w:rFonts w:hint="eastAsia" w:eastAsia="仿宋_GB2312"/>
                <w:sz w:val="18"/>
                <w:szCs w:val="18"/>
              </w:rPr>
              <w:t>提出解决对策</w:t>
            </w:r>
          </w:p>
        </w:tc>
        <w:tc>
          <w:tcPr>
            <w:tcW w:w="945" w:type="pct"/>
            <w:tcBorders>
              <w:bottom w:val="single" w:color="auto" w:sz="4" w:space="0"/>
            </w:tcBorders>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该指标根据指标说明项，缺少任一项扣减本指标分值的33%，哪项不完整或不规范在33%以内适度扣分。扣完为止。</w:t>
            </w:r>
          </w:p>
        </w:tc>
        <w:tc>
          <w:tcPr>
            <w:tcW w:w="232" w:type="pct"/>
            <w:tcBorders>
              <w:bottom w:val="single" w:color="auto" w:sz="4" w:space="0"/>
            </w:tcBorders>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4</w:t>
            </w:r>
          </w:p>
        </w:tc>
        <w:tc>
          <w:tcPr>
            <w:tcW w:w="281" w:type="pct"/>
            <w:tcBorders>
              <w:bottom w:val="single" w:color="auto" w:sz="4" w:space="0"/>
            </w:tcBorders>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shd w:val="clear" w:color="000000" w:fill="FFFFFF"/>
            <w:vAlign w:val="center"/>
          </w:tcPr>
          <w:p>
            <w:pPr>
              <w:widowControl/>
              <w:jc w:val="center"/>
              <w:rPr>
                <w:rFonts w:eastAsia="仿宋_GB2312"/>
                <w:color w:val="000000"/>
                <w:kern w:val="0"/>
                <w:sz w:val="18"/>
                <w:szCs w:val="18"/>
              </w:rPr>
            </w:pP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为铜川市大气污染治理工作提供支撑数据</w:t>
            </w:r>
          </w:p>
        </w:tc>
        <w:tc>
          <w:tcPr>
            <w:tcW w:w="819"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用以反映和考核为污染治理提供支撑数据的情况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评价要点：</w:t>
            </w:r>
          </w:p>
          <w:p>
            <w:pPr>
              <w:widowControl/>
              <w:jc w:val="left"/>
              <w:rPr>
                <w:rFonts w:eastAsia="仿宋_GB2312"/>
                <w:color w:val="000000"/>
                <w:kern w:val="0"/>
                <w:sz w:val="18"/>
                <w:szCs w:val="18"/>
              </w:rPr>
            </w:pPr>
            <w:r>
              <w:rPr>
                <w:rFonts w:hint="eastAsia" w:eastAsia="仿宋_GB2312" w:cs="宋体"/>
                <w:color w:val="000000"/>
                <w:kern w:val="0"/>
                <w:sz w:val="18"/>
                <w:szCs w:val="18"/>
              </w:rPr>
              <w:t>①</w:t>
            </w:r>
            <w:r>
              <w:rPr>
                <w:rFonts w:hint="eastAsia" w:eastAsia="仿宋_GB2312"/>
                <w:color w:val="000000"/>
                <w:kern w:val="0"/>
                <w:sz w:val="18"/>
                <w:szCs w:val="18"/>
              </w:rPr>
              <w:t>项目研究组研究成果是否对空气质量达标、减排削减工作提供了足够的数据支持；</w:t>
            </w:r>
            <w:r>
              <w:rPr>
                <w:rFonts w:hint="eastAsia" w:eastAsia="仿宋_GB2312"/>
                <w:color w:val="000000"/>
                <w:kern w:val="0"/>
                <w:sz w:val="18"/>
                <w:szCs w:val="18"/>
              </w:rPr>
              <w:br w:type="textWrapping"/>
            </w:r>
            <w:r>
              <w:rPr>
                <w:rFonts w:hint="eastAsia" w:eastAsia="仿宋_GB2312" w:cs="宋体"/>
                <w:color w:val="000000"/>
                <w:kern w:val="0"/>
                <w:sz w:val="18"/>
                <w:szCs w:val="18"/>
              </w:rPr>
              <w:t>②</w:t>
            </w:r>
            <w:r>
              <w:rPr>
                <w:rFonts w:hint="eastAsia" w:eastAsia="仿宋_GB2312"/>
                <w:color w:val="000000"/>
                <w:kern w:val="0"/>
                <w:sz w:val="18"/>
                <w:szCs w:val="18"/>
              </w:rPr>
              <w:t>是否有效提升大气管理的系统化决策水平。</w:t>
            </w:r>
          </w:p>
        </w:tc>
        <w:tc>
          <w:tcPr>
            <w:tcW w:w="945"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该指标根据指标说明项，缺少任一项扣减本指标分值的50%，哪项不完整或不规范在50%以内适度扣分。扣完为止。</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4</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restar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可持续影响（</w:t>
            </w:r>
            <w:r>
              <w:rPr>
                <w:rFonts w:hint="eastAsia" w:eastAsia="仿宋_GB2312"/>
                <w:color w:val="000000"/>
                <w:kern w:val="0"/>
                <w:sz w:val="18"/>
                <w:szCs w:val="18"/>
              </w:rPr>
              <w:t>8</w:t>
            </w:r>
            <w:r>
              <w:rPr>
                <w:rFonts w:eastAsia="仿宋_GB2312"/>
                <w:color w:val="000000"/>
                <w:kern w:val="0"/>
                <w:sz w:val="18"/>
                <w:szCs w:val="18"/>
              </w:rPr>
              <w:t>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推动重污染天气应急预案建立</w:t>
            </w:r>
          </w:p>
        </w:tc>
        <w:tc>
          <w:tcPr>
            <w:tcW w:w="819"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评价对涉企企业重污染天气应急预算建立工作的推动情况</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是否推动重污染天气应急预案建立长效机制</w:t>
            </w:r>
          </w:p>
        </w:tc>
        <w:tc>
          <w:tcPr>
            <w:tcW w:w="94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推动80%以上涉企企业建立应急预案得满分，应急预案建立覆盖50%以上得指标分值的50%，应急预案建立覆盖50%以下不得分。</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4</w:t>
            </w:r>
          </w:p>
        </w:tc>
        <w:tc>
          <w:tcPr>
            <w:tcW w:w="281"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vMerge w:val="continue"/>
            <w:shd w:val="clear" w:color="000000" w:fill="FFFFFF"/>
            <w:vAlign w:val="center"/>
          </w:tcPr>
          <w:p>
            <w:pPr>
              <w:widowControl/>
              <w:jc w:val="center"/>
              <w:rPr>
                <w:rFonts w:eastAsia="仿宋_GB2312"/>
                <w:color w:val="000000"/>
                <w:kern w:val="0"/>
                <w:sz w:val="18"/>
                <w:szCs w:val="18"/>
              </w:rPr>
            </w:pP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促进企业提标改造</w:t>
            </w:r>
          </w:p>
        </w:tc>
        <w:tc>
          <w:tcPr>
            <w:tcW w:w="819"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评价是否有重点行业企业不断实现提标改造工程，有效落实环保措施。</w:t>
            </w:r>
          </w:p>
        </w:tc>
        <w:tc>
          <w:tcPr>
            <w:tcW w:w="131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是否长期促进企业提标改造</w:t>
            </w:r>
          </w:p>
        </w:tc>
        <w:tc>
          <w:tcPr>
            <w:tcW w:w="94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持续促进得满分，仅当年促进得指标分值的50%，未促进不得分。</w:t>
            </w:r>
          </w:p>
        </w:tc>
        <w:tc>
          <w:tcPr>
            <w:tcW w:w="232"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4</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245" w:type="pct"/>
            <w:vMerge w:val="continue"/>
            <w:vAlign w:val="center"/>
          </w:tcPr>
          <w:p>
            <w:pPr>
              <w:widowControl/>
              <w:jc w:val="left"/>
              <w:rPr>
                <w:rFonts w:eastAsia="仿宋_GB2312"/>
                <w:color w:val="000000"/>
                <w:kern w:val="0"/>
                <w:sz w:val="18"/>
                <w:szCs w:val="18"/>
              </w:rPr>
            </w:pPr>
          </w:p>
        </w:tc>
        <w:tc>
          <w:tcPr>
            <w:tcW w:w="264" w:type="pct"/>
            <w:vMerge w:val="continue"/>
            <w:vAlign w:val="center"/>
          </w:tcPr>
          <w:p>
            <w:pPr>
              <w:widowControl/>
              <w:jc w:val="left"/>
              <w:rPr>
                <w:rFonts w:eastAsia="仿宋_GB2312"/>
                <w:color w:val="000000"/>
                <w:kern w:val="0"/>
                <w:sz w:val="18"/>
                <w:szCs w:val="18"/>
              </w:rPr>
            </w:pPr>
          </w:p>
        </w:tc>
        <w:tc>
          <w:tcPr>
            <w:tcW w:w="398"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满意度</w:t>
            </w:r>
          </w:p>
          <w:p>
            <w:pPr>
              <w:widowControl/>
              <w:jc w:val="center"/>
              <w:rPr>
                <w:rFonts w:eastAsia="仿宋_GB2312"/>
                <w:color w:val="000000"/>
                <w:kern w:val="0"/>
                <w:sz w:val="18"/>
                <w:szCs w:val="18"/>
              </w:rPr>
            </w:pPr>
            <w:r>
              <w:rPr>
                <w:rFonts w:eastAsia="仿宋_GB2312"/>
                <w:color w:val="000000"/>
                <w:kern w:val="0"/>
                <w:sz w:val="18"/>
                <w:szCs w:val="18"/>
              </w:rPr>
              <w:t>（4分）</w:t>
            </w:r>
          </w:p>
        </w:tc>
        <w:tc>
          <w:tcPr>
            <w:tcW w:w="501" w:type="pct"/>
            <w:shd w:val="clear" w:color="000000" w:fill="FFFFFF"/>
            <w:vAlign w:val="center"/>
          </w:tcPr>
          <w:p>
            <w:pPr>
              <w:widowControl/>
              <w:rPr>
                <w:rFonts w:eastAsia="仿宋_GB2312"/>
                <w:color w:val="000000"/>
                <w:kern w:val="0"/>
                <w:sz w:val="18"/>
                <w:szCs w:val="18"/>
              </w:rPr>
            </w:pPr>
            <w:r>
              <w:rPr>
                <w:rFonts w:hint="eastAsia" w:eastAsia="仿宋_GB2312"/>
                <w:color w:val="000000"/>
                <w:kern w:val="0"/>
                <w:sz w:val="18"/>
                <w:szCs w:val="18"/>
              </w:rPr>
              <w:t>研究成果使用部门满意度</w:t>
            </w:r>
          </w:p>
        </w:tc>
        <w:tc>
          <w:tcPr>
            <w:tcW w:w="819"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服务对象对项目实施效果的满意程度。</w:t>
            </w:r>
          </w:p>
        </w:tc>
        <w:tc>
          <w:tcPr>
            <w:tcW w:w="1315"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w:t>
            </w:r>
          </w:p>
        </w:tc>
        <w:tc>
          <w:tcPr>
            <w:tcW w:w="945" w:type="pct"/>
            <w:shd w:val="clear" w:color="000000" w:fill="FFFFFF"/>
            <w:vAlign w:val="center"/>
          </w:tcPr>
          <w:p>
            <w:pPr>
              <w:widowControl/>
              <w:jc w:val="left"/>
              <w:rPr>
                <w:rFonts w:eastAsia="仿宋_GB2312"/>
                <w:color w:val="000000"/>
                <w:kern w:val="0"/>
                <w:sz w:val="18"/>
                <w:szCs w:val="18"/>
              </w:rPr>
            </w:pPr>
            <w:r>
              <w:rPr>
                <w:rFonts w:hint="eastAsia" w:eastAsia="仿宋_GB2312"/>
                <w:color w:val="000000"/>
                <w:kern w:val="0"/>
                <w:sz w:val="18"/>
                <w:szCs w:val="18"/>
              </w:rPr>
              <w:t>得分=（“满意”人数/样本人数）*4+（“较满意”人数/样本人数）*3+（“一般”人数/样本人数）*2</w:t>
            </w:r>
          </w:p>
        </w:tc>
        <w:tc>
          <w:tcPr>
            <w:tcW w:w="232"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4</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3</w:t>
            </w:r>
            <w:r>
              <w:rPr>
                <w:rFonts w:eastAsia="仿宋_GB2312"/>
                <w:color w:val="000000"/>
                <w:kern w:val="0"/>
                <w:sz w:val="18"/>
                <w:szCs w:val="18"/>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trPr>
        <w:tc>
          <w:tcPr>
            <w:tcW w:w="4487" w:type="pct"/>
            <w:gridSpan w:val="7"/>
            <w:vAlign w:val="center"/>
          </w:tcPr>
          <w:p>
            <w:pPr>
              <w:widowControl/>
              <w:jc w:val="center"/>
              <w:rPr>
                <w:rFonts w:eastAsia="仿宋_GB2312"/>
                <w:color w:val="000000"/>
                <w:kern w:val="0"/>
                <w:sz w:val="18"/>
                <w:szCs w:val="18"/>
              </w:rPr>
            </w:pPr>
            <w:r>
              <w:rPr>
                <w:rFonts w:eastAsia="仿宋_GB2312"/>
                <w:color w:val="000000"/>
                <w:kern w:val="0"/>
                <w:sz w:val="18"/>
                <w:szCs w:val="18"/>
              </w:rPr>
              <w:t>合计</w:t>
            </w:r>
          </w:p>
        </w:tc>
        <w:tc>
          <w:tcPr>
            <w:tcW w:w="232" w:type="pct"/>
            <w:shd w:val="clear" w:color="000000" w:fill="FFFFFF"/>
            <w:vAlign w:val="center"/>
          </w:tcPr>
          <w:p>
            <w:pPr>
              <w:widowControl/>
              <w:jc w:val="center"/>
              <w:rPr>
                <w:rFonts w:eastAsia="仿宋_GB2312"/>
                <w:color w:val="000000"/>
                <w:kern w:val="0"/>
                <w:sz w:val="18"/>
                <w:szCs w:val="18"/>
              </w:rPr>
            </w:pPr>
            <w:r>
              <w:rPr>
                <w:rFonts w:eastAsia="仿宋_GB2312"/>
                <w:color w:val="000000"/>
                <w:kern w:val="0"/>
                <w:sz w:val="18"/>
                <w:szCs w:val="18"/>
              </w:rPr>
              <w:t>100</w:t>
            </w:r>
          </w:p>
        </w:tc>
        <w:tc>
          <w:tcPr>
            <w:tcW w:w="281" w:type="pct"/>
            <w:shd w:val="clear" w:color="000000" w:fill="FFFFFF"/>
            <w:vAlign w:val="center"/>
          </w:tcPr>
          <w:p>
            <w:pPr>
              <w:widowControl/>
              <w:jc w:val="center"/>
              <w:rPr>
                <w:rFonts w:eastAsia="仿宋_GB2312"/>
                <w:color w:val="000000"/>
                <w:kern w:val="0"/>
                <w:sz w:val="18"/>
                <w:szCs w:val="18"/>
              </w:rPr>
            </w:pPr>
            <w:r>
              <w:rPr>
                <w:rFonts w:hint="eastAsia" w:eastAsia="仿宋_GB2312"/>
                <w:color w:val="000000"/>
                <w:kern w:val="0"/>
                <w:sz w:val="18"/>
                <w:szCs w:val="18"/>
              </w:rPr>
              <w:t>88.16</w:t>
            </w:r>
          </w:p>
        </w:tc>
      </w:tr>
    </w:tbl>
    <w:p/>
    <w:sectPr>
      <w:pgSz w:w="16838" w:h="11906" w:orient="landscape"/>
      <w:pgMar w:top="1588" w:right="1134" w:bottom="1474" w:left="1134"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1765088"/>
      <w:docPartObj>
        <w:docPartGallery w:val="AutoText"/>
      </w:docPartObj>
    </w:sdtPr>
    <w:sdtEndPr>
      <w:rPr>
        <w:rFonts w:asciiTheme="minorEastAsia" w:hAnsiTheme="minorEastAsia" w:eastAsiaTheme="minorEastAsia"/>
        <w:sz w:val="28"/>
        <w:szCs w:val="28"/>
      </w:rPr>
    </w:sdtEndPr>
    <w:sdtContent>
      <w:p>
        <w:pPr>
          <w:pStyle w:val="8"/>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34</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101730679"/>
    </w:sdtPr>
    <w:sdtEndPr>
      <w:rPr>
        <w:rFonts w:asciiTheme="minorEastAsia" w:hAnsiTheme="minorEastAsia" w:eastAsiaTheme="minorEastAsia"/>
        <w:sz w:val="28"/>
        <w:szCs w:val="28"/>
      </w:rPr>
    </w:sdtEndPr>
    <w:sdtContent>
      <w:p>
        <w:pPr>
          <w:pStyle w:val="8"/>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3</w:t>
        </w:r>
        <w:r>
          <w:rPr>
            <w:rFonts w:asciiTheme="minorEastAsia" w:hAnsiTheme="minorEastAsia" w:eastAsiaTheme="minorEastAsia"/>
            <w:sz w:val="28"/>
            <w:szCs w:val="28"/>
            <w:lang w:val="zh-CN"/>
          </w:rPr>
          <w:fldChar w:fldCharType="end"/>
        </w:r>
        <w:r>
          <w:rPr>
            <w:rFonts w:hint="eastAsia" w:asciiTheme="minorEastAsia" w:hAnsiTheme="minorEastAsia" w:eastAsiaTheme="minorEastAsia"/>
            <w:sz w:val="28"/>
            <w:szCs w:val="28"/>
            <w:lang w:val="zh-CN"/>
          </w:rPr>
          <w:t>—</w:t>
        </w:r>
      </w:p>
    </w:sdtContent>
  </w:sdt>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1280073"/>
    </w:sdtPr>
    <w:sdtEndPr>
      <w:rPr>
        <w:rFonts w:asciiTheme="minorEastAsia" w:hAnsiTheme="minorEastAsia" w:eastAsiaTheme="minorEastAsia"/>
        <w:sz w:val="28"/>
        <w:szCs w:val="28"/>
      </w:rPr>
    </w:sdtEndPr>
    <w:sdtContent>
      <w:p>
        <w:pPr>
          <w:pStyle w:val="8"/>
          <w:jc w:val="center"/>
          <w:rPr>
            <w:rFonts w:asciiTheme="minorEastAsia" w:hAnsiTheme="minorEastAsia" w:eastAsiaTheme="minorEastAsia"/>
            <w:sz w:val="28"/>
            <w:szCs w:val="28"/>
          </w:rPr>
        </w:pPr>
        <w:r>
          <w:rPr>
            <w:rFonts w:hint="eastAsia"/>
            <w:sz w:val="28"/>
            <w:szCs w:val="28"/>
          </w:rPr>
          <w:t>—</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33</w:t>
        </w:r>
        <w:r>
          <w:rPr>
            <w:rFonts w:asciiTheme="minorEastAsia" w:hAnsiTheme="minorEastAsia" w:eastAsiaTheme="minorEastAsia"/>
            <w:sz w:val="28"/>
            <w:szCs w:val="28"/>
            <w:lang w:val="zh-CN"/>
          </w:rPr>
          <w:fldChar w:fldCharType="end"/>
        </w:r>
        <w:r>
          <w:rPr>
            <w:rFonts w:hint="eastAsia" w:asciiTheme="minorEastAsia" w:hAnsiTheme="minorEastAsia" w:eastAsiaTheme="minorEastAsia"/>
            <w:sz w:val="28"/>
            <w:szCs w:val="28"/>
            <w:lang w:val="zh-CN"/>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248"/>
    <w:rsid w:val="00007776"/>
    <w:rsid w:val="00007A26"/>
    <w:rsid w:val="00007E86"/>
    <w:rsid w:val="00010EAD"/>
    <w:rsid w:val="00012054"/>
    <w:rsid w:val="000125DF"/>
    <w:rsid w:val="000155A4"/>
    <w:rsid w:val="0002436C"/>
    <w:rsid w:val="00025B88"/>
    <w:rsid w:val="0002672C"/>
    <w:rsid w:val="0002765D"/>
    <w:rsid w:val="00031D02"/>
    <w:rsid w:val="00032B1E"/>
    <w:rsid w:val="000367C6"/>
    <w:rsid w:val="00042997"/>
    <w:rsid w:val="000436D6"/>
    <w:rsid w:val="00045AF5"/>
    <w:rsid w:val="00045C15"/>
    <w:rsid w:val="000618F7"/>
    <w:rsid w:val="00062595"/>
    <w:rsid w:val="000703CE"/>
    <w:rsid w:val="0008088E"/>
    <w:rsid w:val="0008215A"/>
    <w:rsid w:val="00085692"/>
    <w:rsid w:val="000917B0"/>
    <w:rsid w:val="00093843"/>
    <w:rsid w:val="000979F1"/>
    <w:rsid w:val="000A79FB"/>
    <w:rsid w:val="000B305D"/>
    <w:rsid w:val="000B3A95"/>
    <w:rsid w:val="000B6246"/>
    <w:rsid w:val="000D2C73"/>
    <w:rsid w:val="000D2EDA"/>
    <w:rsid w:val="000D48F7"/>
    <w:rsid w:val="000D57AD"/>
    <w:rsid w:val="000E6B75"/>
    <w:rsid w:val="000E78B4"/>
    <w:rsid w:val="000F05DF"/>
    <w:rsid w:val="000F0B6C"/>
    <w:rsid w:val="0010195A"/>
    <w:rsid w:val="00113F6D"/>
    <w:rsid w:val="00115660"/>
    <w:rsid w:val="00124FE6"/>
    <w:rsid w:val="00125EFD"/>
    <w:rsid w:val="00143063"/>
    <w:rsid w:val="001438E6"/>
    <w:rsid w:val="00144F53"/>
    <w:rsid w:val="001551C5"/>
    <w:rsid w:val="00160CCF"/>
    <w:rsid w:val="00163A99"/>
    <w:rsid w:val="00174C6B"/>
    <w:rsid w:val="0017700B"/>
    <w:rsid w:val="00180145"/>
    <w:rsid w:val="00181CBA"/>
    <w:rsid w:val="00183AD4"/>
    <w:rsid w:val="00190F4E"/>
    <w:rsid w:val="00192712"/>
    <w:rsid w:val="00194CBB"/>
    <w:rsid w:val="00195628"/>
    <w:rsid w:val="00195E4F"/>
    <w:rsid w:val="001A21FB"/>
    <w:rsid w:val="001A2A55"/>
    <w:rsid w:val="001A2DF8"/>
    <w:rsid w:val="001A55AF"/>
    <w:rsid w:val="001B0193"/>
    <w:rsid w:val="001B1BCB"/>
    <w:rsid w:val="001C2A99"/>
    <w:rsid w:val="001D1BCD"/>
    <w:rsid w:val="001D74C0"/>
    <w:rsid w:val="001F5C80"/>
    <w:rsid w:val="001F79C3"/>
    <w:rsid w:val="00202E99"/>
    <w:rsid w:val="00206496"/>
    <w:rsid w:val="00206FD1"/>
    <w:rsid w:val="00213124"/>
    <w:rsid w:val="00215CAC"/>
    <w:rsid w:val="00217A3F"/>
    <w:rsid w:val="00221B82"/>
    <w:rsid w:val="0022305C"/>
    <w:rsid w:val="00231BD2"/>
    <w:rsid w:val="002342CA"/>
    <w:rsid w:val="00236F1B"/>
    <w:rsid w:val="00237F61"/>
    <w:rsid w:val="002414A7"/>
    <w:rsid w:val="002416B4"/>
    <w:rsid w:val="0024574E"/>
    <w:rsid w:val="0025300E"/>
    <w:rsid w:val="00254CF4"/>
    <w:rsid w:val="0025740E"/>
    <w:rsid w:val="00260B00"/>
    <w:rsid w:val="00261020"/>
    <w:rsid w:val="00262D59"/>
    <w:rsid w:val="00266BC0"/>
    <w:rsid w:val="0027359B"/>
    <w:rsid w:val="00282577"/>
    <w:rsid w:val="002846A4"/>
    <w:rsid w:val="002943A0"/>
    <w:rsid w:val="00294C87"/>
    <w:rsid w:val="002958A6"/>
    <w:rsid w:val="00296C9F"/>
    <w:rsid w:val="002A0DFD"/>
    <w:rsid w:val="002A3A92"/>
    <w:rsid w:val="002A5002"/>
    <w:rsid w:val="002A5F44"/>
    <w:rsid w:val="002B16C2"/>
    <w:rsid w:val="002B3ED6"/>
    <w:rsid w:val="002B573D"/>
    <w:rsid w:val="002D121C"/>
    <w:rsid w:val="002D2248"/>
    <w:rsid w:val="002D663A"/>
    <w:rsid w:val="002E412C"/>
    <w:rsid w:val="002E6CE6"/>
    <w:rsid w:val="002F0E9F"/>
    <w:rsid w:val="002F3CB4"/>
    <w:rsid w:val="0030053B"/>
    <w:rsid w:val="00302B0B"/>
    <w:rsid w:val="003055A9"/>
    <w:rsid w:val="00306AA3"/>
    <w:rsid w:val="0031117F"/>
    <w:rsid w:val="00315BA3"/>
    <w:rsid w:val="0032548D"/>
    <w:rsid w:val="00326CF8"/>
    <w:rsid w:val="0033185F"/>
    <w:rsid w:val="003345E8"/>
    <w:rsid w:val="00337A8A"/>
    <w:rsid w:val="00341A6A"/>
    <w:rsid w:val="0034359A"/>
    <w:rsid w:val="00353982"/>
    <w:rsid w:val="00354A08"/>
    <w:rsid w:val="00356C17"/>
    <w:rsid w:val="003651CD"/>
    <w:rsid w:val="00365325"/>
    <w:rsid w:val="00370497"/>
    <w:rsid w:val="003741E1"/>
    <w:rsid w:val="00377E7C"/>
    <w:rsid w:val="00382328"/>
    <w:rsid w:val="003843EE"/>
    <w:rsid w:val="0038583A"/>
    <w:rsid w:val="00386E16"/>
    <w:rsid w:val="00395233"/>
    <w:rsid w:val="003A0A5E"/>
    <w:rsid w:val="003A1775"/>
    <w:rsid w:val="003A5279"/>
    <w:rsid w:val="003B0D99"/>
    <w:rsid w:val="003C39E1"/>
    <w:rsid w:val="003D1C04"/>
    <w:rsid w:val="003D3462"/>
    <w:rsid w:val="003E1D40"/>
    <w:rsid w:val="003E2E23"/>
    <w:rsid w:val="003F063D"/>
    <w:rsid w:val="004103CA"/>
    <w:rsid w:val="00410C88"/>
    <w:rsid w:val="004119F7"/>
    <w:rsid w:val="00413908"/>
    <w:rsid w:val="0041446A"/>
    <w:rsid w:val="00440745"/>
    <w:rsid w:val="004413EE"/>
    <w:rsid w:val="0044345F"/>
    <w:rsid w:val="00443D8F"/>
    <w:rsid w:val="00444B14"/>
    <w:rsid w:val="0045665E"/>
    <w:rsid w:val="00470796"/>
    <w:rsid w:val="00472356"/>
    <w:rsid w:val="004774B6"/>
    <w:rsid w:val="00480C9B"/>
    <w:rsid w:val="00484900"/>
    <w:rsid w:val="00485B09"/>
    <w:rsid w:val="00491E0B"/>
    <w:rsid w:val="004925F3"/>
    <w:rsid w:val="00494BDB"/>
    <w:rsid w:val="0049618C"/>
    <w:rsid w:val="0049727C"/>
    <w:rsid w:val="004A3957"/>
    <w:rsid w:val="004A51AA"/>
    <w:rsid w:val="004A5790"/>
    <w:rsid w:val="004B1FFA"/>
    <w:rsid w:val="004B29A7"/>
    <w:rsid w:val="004B3E71"/>
    <w:rsid w:val="004B42D2"/>
    <w:rsid w:val="004B4D25"/>
    <w:rsid w:val="004B7AC7"/>
    <w:rsid w:val="004D1464"/>
    <w:rsid w:val="004D1DBF"/>
    <w:rsid w:val="004D2799"/>
    <w:rsid w:val="004D3EB0"/>
    <w:rsid w:val="004D7653"/>
    <w:rsid w:val="004D7B15"/>
    <w:rsid w:val="004E566D"/>
    <w:rsid w:val="004E5BAC"/>
    <w:rsid w:val="004F6126"/>
    <w:rsid w:val="005003FA"/>
    <w:rsid w:val="00501DBD"/>
    <w:rsid w:val="00503E75"/>
    <w:rsid w:val="00506ABA"/>
    <w:rsid w:val="00507390"/>
    <w:rsid w:val="00507E2E"/>
    <w:rsid w:val="00510BAD"/>
    <w:rsid w:val="005143AF"/>
    <w:rsid w:val="0052071C"/>
    <w:rsid w:val="00526A8E"/>
    <w:rsid w:val="005273AA"/>
    <w:rsid w:val="00532491"/>
    <w:rsid w:val="00535814"/>
    <w:rsid w:val="00535DC7"/>
    <w:rsid w:val="00537F5B"/>
    <w:rsid w:val="00541B4E"/>
    <w:rsid w:val="00544FF6"/>
    <w:rsid w:val="00545449"/>
    <w:rsid w:val="0054769A"/>
    <w:rsid w:val="00547EE1"/>
    <w:rsid w:val="005512C8"/>
    <w:rsid w:val="005536F4"/>
    <w:rsid w:val="00556761"/>
    <w:rsid w:val="00565374"/>
    <w:rsid w:val="00571FAC"/>
    <w:rsid w:val="0058782A"/>
    <w:rsid w:val="00590C97"/>
    <w:rsid w:val="00592789"/>
    <w:rsid w:val="00592C40"/>
    <w:rsid w:val="005A18A9"/>
    <w:rsid w:val="005A3CE6"/>
    <w:rsid w:val="005B2A2A"/>
    <w:rsid w:val="005B2F31"/>
    <w:rsid w:val="005B4DC7"/>
    <w:rsid w:val="005B6EAE"/>
    <w:rsid w:val="005C1EF3"/>
    <w:rsid w:val="005C21F6"/>
    <w:rsid w:val="005D0A24"/>
    <w:rsid w:val="005E02AE"/>
    <w:rsid w:val="005E45B2"/>
    <w:rsid w:val="005E71FD"/>
    <w:rsid w:val="005F182C"/>
    <w:rsid w:val="005F2841"/>
    <w:rsid w:val="005F440D"/>
    <w:rsid w:val="005F5376"/>
    <w:rsid w:val="005F6D69"/>
    <w:rsid w:val="00604CFE"/>
    <w:rsid w:val="00612241"/>
    <w:rsid w:val="00627E18"/>
    <w:rsid w:val="00630201"/>
    <w:rsid w:val="006308D8"/>
    <w:rsid w:val="00641093"/>
    <w:rsid w:val="00647C2A"/>
    <w:rsid w:val="0065242F"/>
    <w:rsid w:val="00652EB2"/>
    <w:rsid w:val="00655E68"/>
    <w:rsid w:val="00665312"/>
    <w:rsid w:val="00666C5C"/>
    <w:rsid w:val="006750F1"/>
    <w:rsid w:val="00677AFD"/>
    <w:rsid w:val="00686624"/>
    <w:rsid w:val="006A7BC0"/>
    <w:rsid w:val="006B0236"/>
    <w:rsid w:val="006B1E14"/>
    <w:rsid w:val="006B40CF"/>
    <w:rsid w:val="006B503C"/>
    <w:rsid w:val="006B644C"/>
    <w:rsid w:val="006B678E"/>
    <w:rsid w:val="006C4DB4"/>
    <w:rsid w:val="006C573A"/>
    <w:rsid w:val="006C66BD"/>
    <w:rsid w:val="006C7C07"/>
    <w:rsid w:val="006D53AA"/>
    <w:rsid w:val="006D679B"/>
    <w:rsid w:val="006E1AB3"/>
    <w:rsid w:val="006E5264"/>
    <w:rsid w:val="006E770E"/>
    <w:rsid w:val="006F429B"/>
    <w:rsid w:val="006F5715"/>
    <w:rsid w:val="006F5835"/>
    <w:rsid w:val="00702B72"/>
    <w:rsid w:val="007045AD"/>
    <w:rsid w:val="00704D9C"/>
    <w:rsid w:val="0071020D"/>
    <w:rsid w:val="00710BBE"/>
    <w:rsid w:val="007167D1"/>
    <w:rsid w:val="007168A6"/>
    <w:rsid w:val="00722C89"/>
    <w:rsid w:val="00723762"/>
    <w:rsid w:val="0072563D"/>
    <w:rsid w:val="00725AF4"/>
    <w:rsid w:val="007272EC"/>
    <w:rsid w:val="00727332"/>
    <w:rsid w:val="00727AA3"/>
    <w:rsid w:val="00732616"/>
    <w:rsid w:val="00732B29"/>
    <w:rsid w:val="00732BB0"/>
    <w:rsid w:val="00741A64"/>
    <w:rsid w:val="007445DC"/>
    <w:rsid w:val="0074567C"/>
    <w:rsid w:val="00750647"/>
    <w:rsid w:val="00760380"/>
    <w:rsid w:val="0077388E"/>
    <w:rsid w:val="007744EB"/>
    <w:rsid w:val="007815F5"/>
    <w:rsid w:val="00784E72"/>
    <w:rsid w:val="007A27E0"/>
    <w:rsid w:val="007A3948"/>
    <w:rsid w:val="007B0870"/>
    <w:rsid w:val="007B27B2"/>
    <w:rsid w:val="007B6ECA"/>
    <w:rsid w:val="007B7FCE"/>
    <w:rsid w:val="007C46F7"/>
    <w:rsid w:val="007C7700"/>
    <w:rsid w:val="007D1186"/>
    <w:rsid w:val="007D174B"/>
    <w:rsid w:val="007D2F82"/>
    <w:rsid w:val="007D5576"/>
    <w:rsid w:val="007D6BBC"/>
    <w:rsid w:val="007E3798"/>
    <w:rsid w:val="007E45CF"/>
    <w:rsid w:val="007E4644"/>
    <w:rsid w:val="007E5D5B"/>
    <w:rsid w:val="007F47FC"/>
    <w:rsid w:val="00802898"/>
    <w:rsid w:val="00805986"/>
    <w:rsid w:val="008073CA"/>
    <w:rsid w:val="00812A51"/>
    <w:rsid w:val="00812B89"/>
    <w:rsid w:val="00812BBF"/>
    <w:rsid w:val="00814D31"/>
    <w:rsid w:val="00815614"/>
    <w:rsid w:val="008158C6"/>
    <w:rsid w:val="00817A1D"/>
    <w:rsid w:val="00817BAC"/>
    <w:rsid w:val="0082014F"/>
    <w:rsid w:val="00822433"/>
    <w:rsid w:val="00824505"/>
    <w:rsid w:val="00826F40"/>
    <w:rsid w:val="008315D2"/>
    <w:rsid w:val="008327F0"/>
    <w:rsid w:val="0083653D"/>
    <w:rsid w:val="00841991"/>
    <w:rsid w:val="008439E8"/>
    <w:rsid w:val="008465B3"/>
    <w:rsid w:val="008509F8"/>
    <w:rsid w:val="0085324C"/>
    <w:rsid w:val="00863759"/>
    <w:rsid w:val="00865234"/>
    <w:rsid w:val="00865D49"/>
    <w:rsid w:val="00866063"/>
    <w:rsid w:val="00890A6E"/>
    <w:rsid w:val="008926A9"/>
    <w:rsid w:val="008978E1"/>
    <w:rsid w:val="008A0E66"/>
    <w:rsid w:val="008A3B08"/>
    <w:rsid w:val="008A7C4C"/>
    <w:rsid w:val="008B1254"/>
    <w:rsid w:val="008B4F93"/>
    <w:rsid w:val="008C50C4"/>
    <w:rsid w:val="008C63F3"/>
    <w:rsid w:val="008D16C7"/>
    <w:rsid w:val="008D1ADC"/>
    <w:rsid w:val="008E1355"/>
    <w:rsid w:val="008E3396"/>
    <w:rsid w:val="008E5B64"/>
    <w:rsid w:val="008E6AF5"/>
    <w:rsid w:val="008F0577"/>
    <w:rsid w:val="008F2F6E"/>
    <w:rsid w:val="008F33DA"/>
    <w:rsid w:val="008F56BA"/>
    <w:rsid w:val="009000CF"/>
    <w:rsid w:val="009024BD"/>
    <w:rsid w:val="00915BBD"/>
    <w:rsid w:val="0093654A"/>
    <w:rsid w:val="00936A57"/>
    <w:rsid w:val="00937CA8"/>
    <w:rsid w:val="00940D97"/>
    <w:rsid w:val="00944CDF"/>
    <w:rsid w:val="00947BC5"/>
    <w:rsid w:val="0095297B"/>
    <w:rsid w:val="00961502"/>
    <w:rsid w:val="00966576"/>
    <w:rsid w:val="009725B4"/>
    <w:rsid w:val="00972E12"/>
    <w:rsid w:val="0098684F"/>
    <w:rsid w:val="00987070"/>
    <w:rsid w:val="00994899"/>
    <w:rsid w:val="009A06BE"/>
    <w:rsid w:val="009A5875"/>
    <w:rsid w:val="009A5D71"/>
    <w:rsid w:val="009A5E5A"/>
    <w:rsid w:val="009B5FA4"/>
    <w:rsid w:val="009C048E"/>
    <w:rsid w:val="009C06EB"/>
    <w:rsid w:val="009C43A5"/>
    <w:rsid w:val="009C49D0"/>
    <w:rsid w:val="009C4FC0"/>
    <w:rsid w:val="009C7BD9"/>
    <w:rsid w:val="009D2746"/>
    <w:rsid w:val="009D5156"/>
    <w:rsid w:val="009D6150"/>
    <w:rsid w:val="009D6439"/>
    <w:rsid w:val="009D7283"/>
    <w:rsid w:val="009E47AB"/>
    <w:rsid w:val="009F35AE"/>
    <w:rsid w:val="009F429C"/>
    <w:rsid w:val="00A03A46"/>
    <w:rsid w:val="00A04E22"/>
    <w:rsid w:val="00A21D38"/>
    <w:rsid w:val="00A2787B"/>
    <w:rsid w:val="00A314F7"/>
    <w:rsid w:val="00A31B00"/>
    <w:rsid w:val="00A32E80"/>
    <w:rsid w:val="00A342A9"/>
    <w:rsid w:val="00A37188"/>
    <w:rsid w:val="00A45A9C"/>
    <w:rsid w:val="00A51EE9"/>
    <w:rsid w:val="00A52226"/>
    <w:rsid w:val="00A52E84"/>
    <w:rsid w:val="00A6150E"/>
    <w:rsid w:val="00A65DDA"/>
    <w:rsid w:val="00A673F9"/>
    <w:rsid w:val="00A67421"/>
    <w:rsid w:val="00A71C42"/>
    <w:rsid w:val="00A72656"/>
    <w:rsid w:val="00A727E0"/>
    <w:rsid w:val="00A73536"/>
    <w:rsid w:val="00A74E0F"/>
    <w:rsid w:val="00A77E9E"/>
    <w:rsid w:val="00A80153"/>
    <w:rsid w:val="00A828F2"/>
    <w:rsid w:val="00A838F4"/>
    <w:rsid w:val="00A84882"/>
    <w:rsid w:val="00A94845"/>
    <w:rsid w:val="00AA10D8"/>
    <w:rsid w:val="00AA18CD"/>
    <w:rsid w:val="00AA66AE"/>
    <w:rsid w:val="00AB42E5"/>
    <w:rsid w:val="00AB6394"/>
    <w:rsid w:val="00AC29AC"/>
    <w:rsid w:val="00AD1E5C"/>
    <w:rsid w:val="00AD58E0"/>
    <w:rsid w:val="00AD7FF5"/>
    <w:rsid w:val="00AE02F8"/>
    <w:rsid w:val="00AE0874"/>
    <w:rsid w:val="00AE3AFC"/>
    <w:rsid w:val="00AE3EFD"/>
    <w:rsid w:val="00AE5654"/>
    <w:rsid w:val="00AE653A"/>
    <w:rsid w:val="00AF01D2"/>
    <w:rsid w:val="00AF09A3"/>
    <w:rsid w:val="00AF1BAB"/>
    <w:rsid w:val="00AF526B"/>
    <w:rsid w:val="00AF643C"/>
    <w:rsid w:val="00B024BA"/>
    <w:rsid w:val="00B04812"/>
    <w:rsid w:val="00B0537F"/>
    <w:rsid w:val="00B1221B"/>
    <w:rsid w:val="00B205C1"/>
    <w:rsid w:val="00B2117E"/>
    <w:rsid w:val="00B25905"/>
    <w:rsid w:val="00B26D60"/>
    <w:rsid w:val="00B348E0"/>
    <w:rsid w:val="00B42903"/>
    <w:rsid w:val="00B44FA6"/>
    <w:rsid w:val="00B461FD"/>
    <w:rsid w:val="00B53F59"/>
    <w:rsid w:val="00B5495C"/>
    <w:rsid w:val="00B61307"/>
    <w:rsid w:val="00B632D3"/>
    <w:rsid w:val="00B67D0C"/>
    <w:rsid w:val="00B70374"/>
    <w:rsid w:val="00B708F1"/>
    <w:rsid w:val="00B717E7"/>
    <w:rsid w:val="00B83AA6"/>
    <w:rsid w:val="00B950D2"/>
    <w:rsid w:val="00B96052"/>
    <w:rsid w:val="00BA26D3"/>
    <w:rsid w:val="00BA5C6B"/>
    <w:rsid w:val="00BA5F4E"/>
    <w:rsid w:val="00BB2702"/>
    <w:rsid w:val="00BB5985"/>
    <w:rsid w:val="00BB5FBD"/>
    <w:rsid w:val="00BC0679"/>
    <w:rsid w:val="00BD1B7B"/>
    <w:rsid w:val="00BD4E0E"/>
    <w:rsid w:val="00BD793A"/>
    <w:rsid w:val="00BE195F"/>
    <w:rsid w:val="00BE4A00"/>
    <w:rsid w:val="00BE59DB"/>
    <w:rsid w:val="00BE5A2F"/>
    <w:rsid w:val="00BE7601"/>
    <w:rsid w:val="00BF06A9"/>
    <w:rsid w:val="00BF0ADA"/>
    <w:rsid w:val="00BF0D58"/>
    <w:rsid w:val="00BF25E8"/>
    <w:rsid w:val="00BF291C"/>
    <w:rsid w:val="00BF660F"/>
    <w:rsid w:val="00BF6AC5"/>
    <w:rsid w:val="00C0259F"/>
    <w:rsid w:val="00C035F4"/>
    <w:rsid w:val="00C05DFE"/>
    <w:rsid w:val="00C10C21"/>
    <w:rsid w:val="00C21C0C"/>
    <w:rsid w:val="00C26FF2"/>
    <w:rsid w:val="00C278B6"/>
    <w:rsid w:val="00C40951"/>
    <w:rsid w:val="00C44840"/>
    <w:rsid w:val="00C45E8F"/>
    <w:rsid w:val="00C47E34"/>
    <w:rsid w:val="00C50B73"/>
    <w:rsid w:val="00C50D15"/>
    <w:rsid w:val="00C50D9C"/>
    <w:rsid w:val="00C73F6D"/>
    <w:rsid w:val="00C81F75"/>
    <w:rsid w:val="00C91E6F"/>
    <w:rsid w:val="00C95A6D"/>
    <w:rsid w:val="00C95DC3"/>
    <w:rsid w:val="00C968E8"/>
    <w:rsid w:val="00CA7A66"/>
    <w:rsid w:val="00CB4878"/>
    <w:rsid w:val="00CB4C94"/>
    <w:rsid w:val="00CB56FE"/>
    <w:rsid w:val="00CB7033"/>
    <w:rsid w:val="00CC44EA"/>
    <w:rsid w:val="00CD28D9"/>
    <w:rsid w:val="00CE35DB"/>
    <w:rsid w:val="00CE3845"/>
    <w:rsid w:val="00CE74AB"/>
    <w:rsid w:val="00CF307B"/>
    <w:rsid w:val="00D05A1C"/>
    <w:rsid w:val="00D064BC"/>
    <w:rsid w:val="00D06550"/>
    <w:rsid w:val="00D069AB"/>
    <w:rsid w:val="00D11D66"/>
    <w:rsid w:val="00D12635"/>
    <w:rsid w:val="00D126AF"/>
    <w:rsid w:val="00D12950"/>
    <w:rsid w:val="00D15226"/>
    <w:rsid w:val="00D17226"/>
    <w:rsid w:val="00D201A0"/>
    <w:rsid w:val="00D20956"/>
    <w:rsid w:val="00D237E9"/>
    <w:rsid w:val="00D2461B"/>
    <w:rsid w:val="00D2761B"/>
    <w:rsid w:val="00D32327"/>
    <w:rsid w:val="00D36235"/>
    <w:rsid w:val="00D4071C"/>
    <w:rsid w:val="00D46786"/>
    <w:rsid w:val="00D47D95"/>
    <w:rsid w:val="00D50BB5"/>
    <w:rsid w:val="00D50F22"/>
    <w:rsid w:val="00D51DE0"/>
    <w:rsid w:val="00D54793"/>
    <w:rsid w:val="00D57467"/>
    <w:rsid w:val="00D60041"/>
    <w:rsid w:val="00D60FB4"/>
    <w:rsid w:val="00D653E9"/>
    <w:rsid w:val="00D72C96"/>
    <w:rsid w:val="00D755B8"/>
    <w:rsid w:val="00D76060"/>
    <w:rsid w:val="00D777F6"/>
    <w:rsid w:val="00D81221"/>
    <w:rsid w:val="00D84CC4"/>
    <w:rsid w:val="00D858AA"/>
    <w:rsid w:val="00D93B96"/>
    <w:rsid w:val="00DA3BE9"/>
    <w:rsid w:val="00DA6609"/>
    <w:rsid w:val="00DA667A"/>
    <w:rsid w:val="00DB1B3D"/>
    <w:rsid w:val="00DB714C"/>
    <w:rsid w:val="00DC0AE8"/>
    <w:rsid w:val="00DC0EB0"/>
    <w:rsid w:val="00DC15EE"/>
    <w:rsid w:val="00DC508E"/>
    <w:rsid w:val="00DC68B0"/>
    <w:rsid w:val="00DC74A3"/>
    <w:rsid w:val="00DD3D83"/>
    <w:rsid w:val="00DD4B8F"/>
    <w:rsid w:val="00DD5E87"/>
    <w:rsid w:val="00DE2AD2"/>
    <w:rsid w:val="00DE6839"/>
    <w:rsid w:val="00DE6A13"/>
    <w:rsid w:val="00DF7793"/>
    <w:rsid w:val="00E0421A"/>
    <w:rsid w:val="00E07A30"/>
    <w:rsid w:val="00E138B0"/>
    <w:rsid w:val="00E13F90"/>
    <w:rsid w:val="00E351FA"/>
    <w:rsid w:val="00E42FCD"/>
    <w:rsid w:val="00E52387"/>
    <w:rsid w:val="00E53137"/>
    <w:rsid w:val="00E57983"/>
    <w:rsid w:val="00E6465A"/>
    <w:rsid w:val="00E66A35"/>
    <w:rsid w:val="00E74B5C"/>
    <w:rsid w:val="00E77176"/>
    <w:rsid w:val="00E800B2"/>
    <w:rsid w:val="00E81AA6"/>
    <w:rsid w:val="00E91CB3"/>
    <w:rsid w:val="00E94B87"/>
    <w:rsid w:val="00E97FE3"/>
    <w:rsid w:val="00EB06AD"/>
    <w:rsid w:val="00EB1145"/>
    <w:rsid w:val="00EB13ED"/>
    <w:rsid w:val="00EB249D"/>
    <w:rsid w:val="00EC10B4"/>
    <w:rsid w:val="00EC5C10"/>
    <w:rsid w:val="00ED0D01"/>
    <w:rsid w:val="00ED7ED9"/>
    <w:rsid w:val="00EE0586"/>
    <w:rsid w:val="00EE1E27"/>
    <w:rsid w:val="00EE5C67"/>
    <w:rsid w:val="00EF348A"/>
    <w:rsid w:val="00F07353"/>
    <w:rsid w:val="00F1061A"/>
    <w:rsid w:val="00F13458"/>
    <w:rsid w:val="00F2311E"/>
    <w:rsid w:val="00F33D0E"/>
    <w:rsid w:val="00F35530"/>
    <w:rsid w:val="00F44595"/>
    <w:rsid w:val="00F44A1E"/>
    <w:rsid w:val="00F60F5D"/>
    <w:rsid w:val="00F6321D"/>
    <w:rsid w:val="00F6431D"/>
    <w:rsid w:val="00F761FD"/>
    <w:rsid w:val="00F772F6"/>
    <w:rsid w:val="00F96D5A"/>
    <w:rsid w:val="00F97FF8"/>
    <w:rsid w:val="00FA16D7"/>
    <w:rsid w:val="00FA3218"/>
    <w:rsid w:val="00FA64A8"/>
    <w:rsid w:val="00FB23B0"/>
    <w:rsid w:val="00FB3545"/>
    <w:rsid w:val="00FB51EE"/>
    <w:rsid w:val="00FC0F45"/>
    <w:rsid w:val="00FD036E"/>
    <w:rsid w:val="00FD0547"/>
    <w:rsid w:val="00FD09A7"/>
    <w:rsid w:val="00FD12C1"/>
    <w:rsid w:val="00FD228A"/>
    <w:rsid w:val="00FD6682"/>
    <w:rsid w:val="00FE34A9"/>
    <w:rsid w:val="00FE72E2"/>
    <w:rsid w:val="00FF77CB"/>
    <w:rsid w:val="05CB1C52"/>
    <w:rsid w:val="1A785F37"/>
    <w:rsid w:val="255602E0"/>
    <w:rsid w:val="2D4953AD"/>
    <w:rsid w:val="39AD52A2"/>
    <w:rsid w:val="3BF05A07"/>
    <w:rsid w:val="4C99699F"/>
    <w:rsid w:val="571F6890"/>
    <w:rsid w:val="5C062856"/>
    <w:rsid w:val="62A942C7"/>
    <w:rsid w:val="6BD31115"/>
    <w:rsid w:val="790407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ind w:firstLine="200" w:firstLineChars="200"/>
      <w:outlineLvl w:val="0"/>
    </w:pPr>
    <w:rPr>
      <w:rFonts w:ascii="Calibri" w:hAnsi="Calibri" w:eastAsia="楷体_GB2312"/>
      <w:bCs/>
      <w:kern w:val="44"/>
      <w:sz w:val="32"/>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6"/>
    <w:semiHidden/>
    <w:unhideWhenUsed/>
    <w:qFormat/>
    <w:uiPriority w:val="99"/>
    <w:rPr>
      <w:rFonts w:ascii="宋体"/>
      <w:sz w:val="18"/>
      <w:szCs w:val="18"/>
    </w:rPr>
  </w:style>
  <w:style w:type="paragraph" w:styleId="5">
    <w:name w:val="annotation text"/>
    <w:basedOn w:val="1"/>
    <w:link w:val="24"/>
    <w:qFormat/>
    <w:uiPriority w:val="0"/>
    <w:pPr>
      <w:jc w:val="left"/>
    </w:pPr>
  </w:style>
  <w:style w:type="paragraph" w:styleId="6">
    <w:name w:val="toc 3"/>
    <w:basedOn w:val="1"/>
    <w:next w:val="1"/>
    <w:unhideWhenUsed/>
    <w:qFormat/>
    <w:uiPriority w:val="39"/>
    <w:pPr>
      <w:ind w:left="840" w:leftChars="400"/>
    </w:pPr>
  </w:style>
  <w:style w:type="paragraph" w:styleId="7">
    <w:name w:val="Balloon Text"/>
    <w:basedOn w:val="1"/>
    <w:link w:val="22"/>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paragraph" w:styleId="12">
    <w:name w:val="Title"/>
    <w:basedOn w:val="1"/>
    <w:next w:val="1"/>
    <w:link w:val="20"/>
    <w:qFormat/>
    <w:uiPriority w:val="0"/>
    <w:pPr>
      <w:ind w:firstLine="200" w:firstLineChars="200"/>
      <w:jc w:val="left"/>
      <w:outlineLvl w:val="0"/>
    </w:pPr>
    <w:rPr>
      <w:rFonts w:ascii="Cambria" w:hAnsi="Cambria" w:eastAsia="黑体"/>
      <w:bCs/>
      <w:sz w:val="32"/>
      <w:szCs w:val="32"/>
    </w:rPr>
  </w:style>
  <w:style w:type="table" w:styleId="14">
    <w:name w:val="Table Grid"/>
    <w:basedOn w:val="13"/>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FollowedHyperlink"/>
    <w:basedOn w:val="15"/>
    <w:semiHidden/>
    <w:unhideWhenUsed/>
    <w:qFormat/>
    <w:uiPriority w:val="99"/>
    <w:rPr>
      <w:color w:val="800080" w:themeColor="followedHyperlink"/>
      <w:u w:val="single"/>
      <w14:textFill>
        <w14:solidFill>
          <w14:schemeClr w14:val="folHlink"/>
        </w14:solidFill>
      </w14:textFill>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标题 1 Char"/>
    <w:basedOn w:val="15"/>
    <w:link w:val="2"/>
    <w:qFormat/>
    <w:uiPriority w:val="0"/>
    <w:rPr>
      <w:rFonts w:ascii="Calibri" w:hAnsi="Calibri" w:eastAsia="楷体_GB2312" w:cs="Times New Roman"/>
      <w:bCs/>
      <w:kern w:val="44"/>
      <w:sz w:val="32"/>
      <w:szCs w:val="44"/>
    </w:rPr>
  </w:style>
  <w:style w:type="character" w:customStyle="1" w:styleId="19">
    <w:name w:val="页脚 Char"/>
    <w:basedOn w:val="15"/>
    <w:link w:val="8"/>
    <w:qFormat/>
    <w:uiPriority w:val="99"/>
    <w:rPr>
      <w:rFonts w:ascii="Times New Roman" w:hAnsi="Times New Roman" w:eastAsia="宋体" w:cs="Times New Roman"/>
      <w:sz w:val="18"/>
      <w:szCs w:val="18"/>
    </w:rPr>
  </w:style>
  <w:style w:type="character" w:customStyle="1" w:styleId="20">
    <w:name w:val="标题 Char"/>
    <w:basedOn w:val="15"/>
    <w:link w:val="12"/>
    <w:qFormat/>
    <w:uiPriority w:val="0"/>
    <w:rPr>
      <w:rFonts w:ascii="Cambria" w:hAnsi="Cambria" w:eastAsia="黑体" w:cs="Times New Roman"/>
      <w:bCs/>
      <w:sz w:val="32"/>
      <w:szCs w:val="32"/>
    </w:rPr>
  </w:style>
  <w:style w:type="table" w:customStyle="1" w:styleId="21">
    <w:name w:val="TableGrid"/>
    <w:qFormat/>
    <w:uiPriority w:val="0"/>
    <w:rPr>
      <w:rFonts w:ascii="等线" w:hAnsi="等线" w:eastAsia="等线" w:cs="Times New Roman"/>
    </w:rPr>
    <w:tblPr>
      <w:tblCellMar>
        <w:top w:w="0" w:type="dxa"/>
        <w:left w:w="0" w:type="dxa"/>
        <w:bottom w:w="0" w:type="dxa"/>
        <w:right w:w="0" w:type="dxa"/>
      </w:tblCellMar>
    </w:tblPr>
  </w:style>
  <w:style w:type="character" w:customStyle="1" w:styleId="22">
    <w:name w:val="批注框文本 Char"/>
    <w:basedOn w:val="15"/>
    <w:link w:val="7"/>
    <w:semiHidden/>
    <w:qFormat/>
    <w:uiPriority w:val="99"/>
    <w:rPr>
      <w:rFonts w:ascii="Times New Roman" w:hAnsi="Times New Roman" w:eastAsia="宋体" w:cs="Times New Roman"/>
      <w:sz w:val="18"/>
      <w:szCs w:val="18"/>
    </w:rPr>
  </w:style>
  <w:style w:type="character" w:customStyle="1" w:styleId="23">
    <w:name w:val="页眉 Char"/>
    <w:basedOn w:val="15"/>
    <w:link w:val="9"/>
    <w:qFormat/>
    <w:uiPriority w:val="99"/>
    <w:rPr>
      <w:rFonts w:ascii="Times New Roman" w:hAnsi="Times New Roman" w:eastAsia="宋体" w:cs="Times New Roman"/>
      <w:sz w:val="18"/>
      <w:szCs w:val="18"/>
    </w:rPr>
  </w:style>
  <w:style w:type="character" w:customStyle="1" w:styleId="24">
    <w:name w:val="批注文字 Char"/>
    <w:basedOn w:val="15"/>
    <w:link w:val="5"/>
    <w:qFormat/>
    <w:uiPriority w:val="0"/>
    <w:rPr>
      <w:rFonts w:ascii="Times New Roman" w:hAnsi="Times New Roman" w:eastAsia="宋体" w:cs="Times New Roman"/>
      <w:szCs w:val="24"/>
    </w:rPr>
  </w:style>
  <w:style w:type="character" w:customStyle="1" w:styleId="25">
    <w:name w:val="标题 2 Char"/>
    <w:basedOn w:val="15"/>
    <w:link w:val="3"/>
    <w:qFormat/>
    <w:uiPriority w:val="9"/>
    <w:rPr>
      <w:rFonts w:asciiTheme="majorHAnsi" w:hAnsiTheme="majorHAnsi" w:eastAsiaTheme="majorEastAsia" w:cstheme="majorBidi"/>
      <w:b/>
      <w:bCs/>
      <w:sz w:val="32"/>
      <w:szCs w:val="32"/>
    </w:rPr>
  </w:style>
  <w:style w:type="character" w:customStyle="1" w:styleId="26">
    <w:name w:val="文档结构图 Char"/>
    <w:basedOn w:val="15"/>
    <w:link w:val="4"/>
    <w:semiHidden/>
    <w:qFormat/>
    <w:uiPriority w:val="99"/>
    <w:rPr>
      <w:rFonts w:ascii="宋体" w:hAnsi="Times New Roman" w:eastAsia="宋体" w:cs="Times New Roman"/>
      <w:sz w:val="18"/>
      <w:szCs w:val="18"/>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09A07-EC12-479A-9C43-590DBD8AD97A}">
  <ds:schemaRefs/>
</ds:datastoreItem>
</file>

<file path=docProps/app.xml><?xml version="1.0" encoding="utf-8"?>
<Properties xmlns="http://schemas.openxmlformats.org/officeDocument/2006/extended-properties" xmlns:vt="http://schemas.openxmlformats.org/officeDocument/2006/docPropsVTypes">
  <Template>Normal</Template>
  <Pages>1</Pages>
  <Words>3342</Words>
  <Characters>19054</Characters>
  <Lines>158</Lines>
  <Paragraphs>44</Paragraphs>
  <TotalTime>26</TotalTime>
  <ScaleCrop>false</ScaleCrop>
  <LinksUpToDate>false</LinksUpToDate>
  <CharactersWithSpaces>22352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2020-10-21T04:33:00Z</dcterms:created>
  <dc:creator>admin</dc:creator>
  <cp:lastModifiedBy>Administrator</cp:lastModifiedBy>
  <cp:lastPrinted>2020-10-29T08:23:00Z</cp:lastPrinted>
  <dcterms:modified xsi:type="dcterms:W3CDTF">2021-05-21T07:11:54Z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54DF0616B02B461787D508300DA707C1</vt:lpwstr>
  </property>
</Properties>
</file>